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C82333">
      <w:pPr>
        <w:keepNext w:val="0"/>
        <w:keepLines w:val="0"/>
        <w:widowControl/>
        <w:suppressLineNumbers w:val="0"/>
        <w:spacing w:before="0" w:beforeAutospacing="1" w:after="0" w:afterAutospacing="1"/>
        <w:ind w:left="0" w:right="0"/>
        <w:jc w:val="center"/>
        <w:rPr>
          <w:rFonts w:hint="eastAsia" w:ascii="黑体" w:hAnsi="ˎ̥" w:eastAsia="黑体" w:cs="黑体"/>
          <w:kern w:val="0"/>
          <w:sz w:val="44"/>
          <w:szCs w:val="44"/>
        </w:rPr>
      </w:pPr>
      <w:r>
        <w:rPr>
          <w:rFonts w:hint="eastAsia" w:ascii="黑体" w:hAnsi="宋体" w:eastAsia="黑体" w:cs="黑体"/>
          <w:kern w:val="0"/>
          <w:sz w:val="44"/>
          <w:szCs w:val="44"/>
        </w:rPr>
        <w:t>海南省机电工程学校2022年度部门决算</w:t>
      </w:r>
    </w:p>
    <w:p w14:paraId="4A3F5A6F">
      <w:pPr>
        <w:keepNext w:val="0"/>
        <w:keepLines w:val="0"/>
        <w:widowControl/>
        <w:suppressLineNumbers w:val="0"/>
        <w:spacing w:before="0" w:beforeAutospacing="1" w:after="0" w:afterAutospacing="1"/>
        <w:ind w:left="0" w:right="0"/>
        <w:jc w:val="center"/>
        <w:rPr>
          <w:rFonts w:hint="eastAsia" w:ascii="黑体" w:hAnsi="ˎ̥" w:eastAsia="黑体" w:cs="黑体"/>
          <w:kern w:val="0"/>
          <w:sz w:val="44"/>
          <w:szCs w:val="44"/>
        </w:rPr>
      </w:pPr>
      <w:r>
        <w:rPr>
          <w:rFonts w:hint="eastAsia" w:ascii="黑体" w:hAnsi="宋体" w:eastAsia="黑体" w:cs="黑体"/>
          <w:kern w:val="0"/>
          <w:sz w:val="44"/>
          <w:szCs w:val="44"/>
        </w:rPr>
        <w:t>公开报告</w:t>
      </w:r>
    </w:p>
    <w:p w14:paraId="75A44911">
      <w:pPr>
        <w:keepNext w:val="0"/>
        <w:keepLines w:val="0"/>
        <w:widowControl/>
        <w:suppressLineNumbers w:val="0"/>
        <w:spacing w:before="0" w:beforeAutospacing="1" w:after="0" w:afterAutospacing="1"/>
        <w:ind w:left="0" w:right="0"/>
        <w:jc w:val="center"/>
        <w:rPr>
          <w:rFonts w:hint="eastAsia" w:ascii="黑体" w:hAnsi="ˎ̥" w:eastAsia="黑体" w:cs="黑体"/>
          <w:b/>
          <w:bCs w:val="0"/>
          <w:kern w:val="0"/>
          <w:sz w:val="32"/>
          <w:szCs w:val="32"/>
        </w:rPr>
      </w:pPr>
      <w:r>
        <w:rPr>
          <w:rFonts w:hint="eastAsia" w:ascii="黑体" w:hAnsi="ˎ̥" w:eastAsia="黑体" w:cs="黑体"/>
          <w:b/>
          <w:bCs w:val="0"/>
          <w:kern w:val="0"/>
          <w:sz w:val="32"/>
          <w:szCs w:val="32"/>
        </w:rPr>
        <w:t xml:space="preserve"> </w:t>
      </w:r>
    </w:p>
    <w:p w14:paraId="5049EA9A">
      <w:pPr>
        <w:keepNext w:val="0"/>
        <w:keepLines w:val="0"/>
        <w:widowControl/>
        <w:suppressLineNumbers w:val="0"/>
        <w:spacing w:before="0" w:beforeAutospacing="1" w:after="0" w:afterAutospacing="1"/>
        <w:ind w:left="0" w:right="0"/>
        <w:jc w:val="center"/>
        <w:rPr>
          <w:rFonts w:hint="eastAsia" w:ascii="黑体" w:hAnsi="宋体" w:eastAsia="黑体" w:cs="黑体"/>
          <w:kern w:val="0"/>
          <w:sz w:val="44"/>
          <w:szCs w:val="44"/>
        </w:rPr>
      </w:pPr>
      <w:r>
        <w:rPr>
          <w:rFonts w:hint="eastAsia" w:ascii="黑体" w:hAnsi="宋体" w:eastAsia="黑体" w:cs="黑体"/>
          <w:kern w:val="0"/>
          <w:sz w:val="44"/>
          <w:szCs w:val="44"/>
        </w:rPr>
        <w:t>目  录</w:t>
      </w:r>
    </w:p>
    <w:p w14:paraId="0C3B43E7">
      <w:pPr>
        <w:pStyle w:val="18"/>
        <w:keepNext w:val="0"/>
        <w:keepLines w:val="0"/>
        <w:widowControl/>
        <w:suppressLineNumbers w:val="0"/>
        <w:spacing w:before="0" w:beforeAutospacing="1" w:after="0" w:afterAutospacing="1"/>
        <w:ind w:left="0" w:right="0"/>
        <w:rPr>
          <w:rFonts w:hint="eastAsia" w:ascii="Times New Roman" w:hAnsi="Times New Roman" w:eastAsia="宋体" w:cs="Times New Roman"/>
          <w:b w:val="0"/>
          <w:bCs w:val="0"/>
          <w:kern w:val="0"/>
          <w:sz w:val="32"/>
          <w:szCs w:val="32"/>
        </w:rPr>
      </w:pPr>
      <w:r>
        <w:rPr>
          <w:rFonts w:hint="eastAsia" w:ascii="黑体" w:hAnsi="宋体" w:eastAsia="黑体" w:cs="黑体"/>
          <w:b w:val="0"/>
          <w:bCs w:val="0"/>
          <w:kern w:val="0"/>
          <w:sz w:val="32"/>
          <w:szCs w:val="32"/>
        </w:rPr>
        <w:t>第一部分</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基本情况</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w:t>
      </w:r>
      <w:r>
        <w:rPr>
          <w:rFonts w:hint="eastAsia" w:ascii="仿宋" w:hAnsi="仿宋" w:eastAsia="仿宋" w:cs="仿宋"/>
          <w:kern w:val="0"/>
          <w:sz w:val="32"/>
          <w:szCs w:val="32"/>
        </w:rPr>
        <w:t>...............................3</w:t>
      </w:r>
    </w:p>
    <w:p w14:paraId="3826A896">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一、部门职责......................................3</w:t>
      </w:r>
    </w:p>
    <w:p w14:paraId="370862CD">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二、机构设置......................................3</w:t>
      </w:r>
    </w:p>
    <w:p w14:paraId="26BEED7A">
      <w:pPr>
        <w:pStyle w:val="18"/>
        <w:keepNext w:val="0"/>
        <w:keepLines w:val="0"/>
        <w:widowControl/>
        <w:suppressLineNumbers w:val="0"/>
        <w:spacing w:before="0" w:beforeAutospacing="1" w:after="0" w:afterAutospacing="1"/>
        <w:ind w:left="0" w:right="0"/>
        <w:rPr>
          <w:rFonts w:hint="eastAsia" w:ascii="Times New Roman" w:hAnsi="Times New Roman" w:eastAsia="仿宋" w:cs="Times New Roman"/>
          <w:b w:val="0"/>
          <w:bCs w:val="0"/>
          <w:kern w:val="0"/>
          <w:sz w:val="32"/>
          <w:szCs w:val="32"/>
        </w:rPr>
      </w:pPr>
      <w:r>
        <w:rPr>
          <w:rFonts w:hint="eastAsia" w:ascii="黑体" w:hAnsi="宋体" w:eastAsia="黑体" w:cs="黑体"/>
          <w:b w:val="0"/>
          <w:bCs w:val="0"/>
          <w:kern w:val="0"/>
          <w:sz w:val="32"/>
          <w:szCs w:val="32"/>
        </w:rPr>
        <w:t>第二部分</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2022年度部门决算公开表</w:t>
      </w:r>
      <w:r>
        <w:rPr>
          <w:rFonts w:hint="eastAsia" w:ascii="黑体" w:hAnsi="ˎ̥" w:eastAsia="黑体" w:cs="Times New Roman"/>
          <w:b w:val="0"/>
          <w:bCs w:val="0"/>
          <w:kern w:val="0"/>
          <w:sz w:val="32"/>
          <w:szCs w:val="32"/>
        </w:rPr>
        <w:t xml:space="preserve"> </w:t>
      </w:r>
      <w:r>
        <w:rPr>
          <w:rFonts w:hint="eastAsia" w:ascii="仿宋" w:hAnsi="仿宋" w:eastAsia="仿宋" w:cs="仿宋"/>
          <w:kern w:val="0"/>
          <w:sz w:val="32"/>
          <w:szCs w:val="32"/>
        </w:rPr>
        <w:t>.................4</w:t>
      </w:r>
    </w:p>
    <w:p w14:paraId="01ED7B3F">
      <w:pPr>
        <w:pStyle w:val="18"/>
        <w:keepNext w:val="0"/>
        <w:keepLines w:val="0"/>
        <w:widowControl/>
        <w:suppressLineNumbers w:val="0"/>
        <w:spacing w:before="0" w:beforeAutospacing="1" w:after="0" w:afterAutospacing="1"/>
        <w:ind w:left="0" w:right="0"/>
        <w:rPr>
          <w:rFonts w:hint="eastAsia" w:ascii="Times New Roman" w:hAnsi="Times New Roman" w:eastAsia="宋体" w:cs="Times New Roman"/>
          <w:b w:val="0"/>
          <w:bCs w:val="0"/>
          <w:kern w:val="0"/>
          <w:sz w:val="32"/>
          <w:szCs w:val="32"/>
        </w:rPr>
      </w:pPr>
      <w:r>
        <w:rPr>
          <w:rFonts w:hint="eastAsia" w:ascii="黑体" w:hAnsi="宋体" w:eastAsia="黑体" w:cs="黑体"/>
          <w:b w:val="0"/>
          <w:bCs w:val="0"/>
          <w:kern w:val="0"/>
          <w:sz w:val="32"/>
          <w:szCs w:val="32"/>
        </w:rPr>
        <w:t>第三部分</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2022年度部门决算情况说明</w:t>
      </w:r>
      <w:r>
        <w:rPr>
          <w:rFonts w:hint="eastAsia" w:ascii="黑体" w:hAnsi="ˎ̥" w:eastAsia="黑体" w:cs="Times New Roman"/>
          <w:b w:val="0"/>
          <w:bCs w:val="0"/>
          <w:kern w:val="0"/>
          <w:sz w:val="32"/>
          <w:szCs w:val="32"/>
        </w:rPr>
        <w:t xml:space="preserve"> </w:t>
      </w:r>
      <w:r>
        <w:rPr>
          <w:rFonts w:hint="eastAsia" w:ascii="仿宋" w:hAnsi="仿宋" w:eastAsia="仿宋" w:cs="仿宋"/>
          <w:kern w:val="0"/>
          <w:sz w:val="32"/>
          <w:szCs w:val="32"/>
        </w:rPr>
        <w:t>...............4</w:t>
      </w:r>
    </w:p>
    <w:p w14:paraId="1152F693">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一、收入支出总体情况说明..........................4</w:t>
      </w:r>
    </w:p>
    <w:p w14:paraId="4D592C27">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二、收入决算情况说明..............................6</w:t>
      </w:r>
    </w:p>
    <w:p w14:paraId="00B0B89C">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三、支出决算情况说明..............................6</w:t>
      </w:r>
    </w:p>
    <w:p w14:paraId="7C8704A4">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四、财政拨款收入支出决算情况说明..................6</w:t>
      </w:r>
    </w:p>
    <w:p w14:paraId="6DA4C460">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五、一般公共预算财政拨款支出决算情况说明..........7</w:t>
      </w:r>
    </w:p>
    <w:p w14:paraId="4C6834A1">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六、一般公共预算财政拨款基本支出决算情况说明......9</w:t>
      </w:r>
    </w:p>
    <w:p w14:paraId="46ECE805">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七、政府性基金预算财政拨款收入支出决算公开表 ....10</w:t>
      </w:r>
    </w:p>
    <w:p w14:paraId="25C34C3B">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八、国有资本经营预算财政拨款收入支出决算情况说明.11</w:t>
      </w:r>
    </w:p>
    <w:p w14:paraId="38660B14">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九、财政拨款“三公”经费支出决算情况说明.........12</w:t>
      </w:r>
    </w:p>
    <w:p w14:paraId="726137C8">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十、预算绩效情况说明.............................14</w:t>
      </w:r>
    </w:p>
    <w:p w14:paraId="4BBE8D48">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十一、其他重要事项情况说明.......................14</w:t>
      </w:r>
    </w:p>
    <w:p w14:paraId="3020FD59">
      <w:pPr>
        <w:pStyle w:val="18"/>
        <w:keepNext w:val="0"/>
        <w:keepLines w:val="0"/>
        <w:widowControl/>
        <w:suppressLineNumbers w:val="0"/>
        <w:spacing w:before="0" w:beforeAutospacing="1" w:after="0" w:afterAutospacing="1"/>
        <w:ind w:left="0" w:right="0"/>
        <w:rPr>
          <w:rFonts w:hint="eastAsia" w:ascii="黑体" w:hAnsi="ˎ̥" w:eastAsia="宋体" w:cs="黑体"/>
          <w:b/>
          <w:bCs w:val="0"/>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r>
        <w:rPr>
          <w:rFonts w:hint="eastAsia" w:ascii="宋体" w:hAnsi="宋体" w:eastAsia="宋体" w:cs="宋体"/>
          <w:kern w:val="0"/>
          <w:sz w:val="32"/>
          <w:szCs w:val="32"/>
        </w:rPr>
        <w:tab/>
      </w:r>
      <w:r>
        <w:rPr>
          <w:rFonts w:hint="eastAsia" w:ascii="仿宋" w:hAnsi="仿宋" w:eastAsia="仿宋" w:cs="仿宋"/>
          <w:kern w:val="0"/>
          <w:sz w:val="32"/>
          <w:szCs w:val="32"/>
        </w:rPr>
        <w:t>...............................</w:t>
      </w:r>
      <w:r>
        <w:rPr>
          <w:rFonts w:hint="eastAsia" w:ascii="宋体" w:hAnsi="宋体" w:eastAsia="宋体" w:cs="宋体"/>
          <w:kern w:val="0"/>
          <w:sz w:val="32"/>
          <w:szCs w:val="32"/>
        </w:rPr>
        <w:t>17</w:t>
      </w:r>
    </w:p>
    <w:p w14:paraId="1C354FB2">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EEC5F65">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7515FD6">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B0DB223">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9DF036A">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3FEEDD7C">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0C570F50">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53B1FD5">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C3C14E3">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2658062A">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第一部分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基本情况</w:t>
      </w:r>
    </w:p>
    <w:p w14:paraId="72B9A9BF">
      <w:pPr>
        <w:keepNext w:val="0"/>
        <w:keepLines w:val="0"/>
        <w:widowControl/>
        <w:suppressLineNumbers w:val="0"/>
        <w:autoSpaceDE w:val="0"/>
        <w:autoSpaceDN/>
        <w:spacing w:before="0" w:beforeAutospacing="1" w:after="0" w:afterAutospacing="1"/>
        <w:ind w:left="0" w:right="0" w:firstLine="640" w:firstLineChars="200"/>
        <w:rPr>
          <w:rFonts w:hint="eastAsia" w:ascii="黑体" w:hAnsi="宋体" w:eastAsia="黑体" w:cs="黑体"/>
          <w:kern w:val="0"/>
          <w:sz w:val="32"/>
          <w:szCs w:val="32"/>
        </w:rPr>
      </w:pPr>
      <w:r>
        <w:rPr>
          <w:rFonts w:hint="eastAsia" w:ascii="黑体" w:hAnsi="宋体" w:eastAsia="黑体" w:cs="黑体"/>
          <w:kern w:val="0"/>
          <w:sz w:val="32"/>
          <w:szCs w:val="32"/>
        </w:rPr>
        <w:t>一、部门（单位）职责</w:t>
      </w:r>
    </w:p>
    <w:p w14:paraId="3D617AF7">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highlight w:val="none"/>
          <w:lang w:eastAsia="zh-CN"/>
        </w:rPr>
      </w:pPr>
      <w:r>
        <w:rPr>
          <w:rFonts w:hint="eastAsia" w:ascii="仿宋_GB2312" w:hAnsi="Times New Roman" w:eastAsia="仿宋_GB2312" w:cs="Times New Roman"/>
          <w:kern w:val="2"/>
          <w:sz w:val="32"/>
          <w:szCs w:val="32"/>
          <w:lang w:val="en-US" w:eastAsia="zh-CN" w:bidi="ar-SA"/>
        </w:rPr>
        <w:t>海南省机电工程学校是首批国家中等职业学校改革发展示范学校，主管部门是海南省教育厅。</w:t>
      </w:r>
    </w:p>
    <w:p w14:paraId="17E5F560">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（一）主要职责</w:t>
      </w:r>
    </w:p>
    <w:p w14:paraId="602E785A">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1、贯彻落实省委、省政府和教育行政部门关于职业教育工作的有关规定，按照《中华人民共和国职业教育法》实施教育工作。</w:t>
      </w:r>
    </w:p>
    <w:p w14:paraId="34966FC0">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2、承担中等职业技术教育工作，培养机电工程等职业技术人才。</w:t>
      </w:r>
    </w:p>
    <w:p w14:paraId="1D115B12">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3、承办上级主管部门交办的其他工作。</w:t>
      </w:r>
    </w:p>
    <w:p w14:paraId="0AC2F5DD">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（二）机构设置</w:t>
      </w:r>
    </w:p>
    <w:p w14:paraId="6FA4AEAC">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专业教研组、数控专业教研组、电气专业教研组、西点酒管专业教研组、数理专业教研组、体育专业教研组、英语专业教研组等。</w:t>
      </w:r>
    </w:p>
    <w:p w14:paraId="12800651">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第二部分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2022年度部门决算公开报表</w:t>
      </w:r>
    </w:p>
    <w:p w14:paraId="1401AD5A">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一、收入支出决算公开表</w:t>
      </w:r>
    </w:p>
    <w:p w14:paraId="2BA15901">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二、收入决算公开表</w:t>
      </w:r>
    </w:p>
    <w:p w14:paraId="61D82C62">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三、支出决算公开表</w:t>
      </w:r>
    </w:p>
    <w:p w14:paraId="76074888">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四、财政拨款收入支出决算公开表</w:t>
      </w:r>
    </w:p>
    <w:p w14:paraId="08BC5BB0">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五、一般公共预算财政拨款收入支出决算公开表</w:t>
      </w:r>
    </w:p>
    <w:p w14:paraId="00AD933A">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六、一般公共预算财政拨款基本支出决算公开表</w:t>
      </w:r>
    </w:p>
    <w:p w14:paraId="20A906B4">
      <w:pPr>
        <w:keepNext w:val="0"/>
        <w:keepLines w:val="0"/>
        <w:widowControl/>
        <w:suppressLineNumbers w:val="0"/>
        <w:spacing w:before="0" w:beforeAutospacing="1" w:after="0" w:afterAutospacing="1"/>
        <w:ind w:left="1210" w:leftChars="304" w:right="0"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七、政府性基金预算财政拨款收入支出决算公开表</w:t>
      </w:r>
    </w:p>
    <w:p w14:paraId="61C66EB7">
      <w:pPr>
        <w:keepNext w:val="0"/>
        <w:keepLines w:val="0"/>
        <w:widowControl/>
        <w:suppressLineNumbers w:val="0"/>
        <w:spacing w:before="0" w:beforeAutospacing="1" w:after="0" w:afterAutospacing="1"/>
        <w:ind w:left="1210" w:leftChars="304" w:right="0"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八、国有资本经营预算财政拨款收入支出决算公开表</w:t>
      </w:r>
    </w:p>
    <w:p w14:paraId="1C58D0DF">
      <w:pPr>
        <w:keepNext w:val="0"/>
        <w:keepLines w:val="0"/>
        <w:widowControl/>
        <w:suppressLineNumbers w:val="0"/>
        <w:spacing w:before="0" w:beforeAutospacing="1" w:after="0" w:afterAutospacing="1"/>
        <w:ind w:left="0" w:right="0" w:firstLine="640"/>
        <w:rPr>
          <w:rFonts w:hint="eastAsia" w:ascii="黑体" w:hAnsi="宋体" w:eastAsia="黑体" w:cs="黑体"/>
          <w:kern w:val="0"/>
          <w:sz w:val="32"/>
          <w:szCs w:val="32"/>
        </w:rPr>
      </w:pPr>
      <w:r>
        <w:rPr>
          <w:rFonts w:hint="eastAsia" w:ascii="黑体" w:hAnsi="宋体" w:eastAsia="黑体" w:cs="黑体"/>
          <w:kern w:val="0"/>
          <w:sz w:val="32"/>
          <w:szCs w:val="32"/>
        </w:rPr>
        <w:t>九、财政拨款“三公”经费支出决算公开表</w:t>
      </w:r>
    </w:p>
    <w:p w14:paraId="628DE66C">
      <w:pPr>
        <w:keepNext w:val="0"/>
        <w:keepLines w:val="0"/>
        <w:widowControl/>
        <w:suppressLineNumbers w:val="0"/>
        <w:spacing w:before="0" w:beforeAutospacing="1" w:after="0" w:afterAutospacing="1"/>
        <w:ind w:left="0" w:right="0" w:firstLine="640"/>
        <w:rPr>
          <w:rFonts w:hint="eastAsia" w:ascii="黑体" w:hAnsi="宋体" w:eastAsia="黑体" w:cs="黑体"/>
          <w:kern w:val="0"/>
          <w:sz w:val="32"/>
          <w:szCs w:val="32"/>
        </w:rPr>
      </w:pPr>
      <w:r>
        <w:rPr>
          <w:rFonts w:hint="eastAsia" w:ascii="黑体" w:hAnsi="宋体" w:eastAsia="黑体" w:cs="黑体"/>
          <w:kern w:val="0"/>
          <w:sz w:val="32"/>
          <w:szCs w:val="32"/>
        </w:rPr>
        <w:t xml:space="preserve">以上报表见附件1。   </w:t>
      </w:r>
    </w:p>
    <w:p w14:paraId="588E778E">
      <w:pPr>
        <w:keepNext w:val="0"/>
        <w:keepLines w:val="0"/>
        <w:widowControl/>
        <w:suppressLineNumbers w:val="0"/>
        <w:spacing w:before="0" w:beforeAutospacing="1" w:after="0" w:afterAutospacing="1"/>
        <w:ind w:left="0" w:right="0"/>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14:paraId="470A8621">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第三部分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2022年度部门决算情况说明</w:t>
      </w:r>
    </w:p>
    <w:p w14:paraId="2CDDB8DF">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eastAsia" w:ascii="黑体" w:hAnsi="宋体" w:eastAsia="黑体" w:cs="黑体"/>
          <w:bCs/>
          <w:kern w:val="0"/>
          <w:sz w:val="32"/>
          <w:szCs w:val="32"/>
        </w:rPr>
        <w:t>一、收入支出总体情况说明</w:t>
      </w:r>
      <w:r>
        <w:rPr>
          <w:rFonts w:hint="eastAsia" w:ascii="黑体" w:hAnsi="宋体" w:eastAsia="黑体" w:cs="黑体"/>
          <w:bCs/>
          <w:kern w:val="0"/>
          <w:sz w:val="32"/>
          <w:szCs w:val="32"/>
        </w:rPr>
        <w:br w:type="textWrapping"/>
      </w:r>
      <w:r>
        <w:rPr>
          <w:rFonts w:hint="default" w:ascii="楷体_GB2312" w:hAnsi="ˎ̥" w:eastAsia="楷体_GB2312" w:cs="楷体_GB2312"/>
          <w:kern w:val="0"/>
          <w:sz w:val="32"/>
          <w:szCs w:val="32"/>
        </w:rPr>
        <w:t xml:space="preserve">    </w:t>
      </w:r>
      <w:r>
        <w:rPr>
          <w:rFonts w:hint="default" w:ascii="仿宋_GB2312" w:hAnsi="ˎ̥" w:eastAsia="仿宋_GB2312" w:cs="仿宋_GB2312"/>
          <w:kern w:val="0"/>
          <w:sz w:val="32"/>
          <w:szCs w:val="32"/>
        </w:rPr>
        <w:t>2022年度收入总计</w:t>
      </w:r>
      <w:r>
        <w:rPr>
          <w:rFonts w:hint="default" w:ascii="仿宋_GB2312" w:hAnsi="宋体" w:eastAsia="仿宋_GB2312" w:cs="仿宋_GB2312"/>
          <w:kern w:val="0"/>
          <w:sz w:val="32"/>
          <w:szCs w:val="32"/>
        </w:rPr>
        <w:t>7,717.65</w:t>
      </w:r>
      <w:r>
        <w:rPr>
          <w:rFonts w:hint="default" w:ascii="仿宋_GB2312" w:hAnsi="ˎ̥" w:eastAsia="仿宋_GB2312" w:cs="仿宋_GB2312"/>
          <w:kern w:val="0"/>
          <w:sz w:val="32"/>
          <w:szCs w:val="32"/>
        </w:rPr>
        <w:t>万元，支出总计</w:t>
      </w:r>
      <w:r>
        <w:rPr>
          <w:rFonts w:hint="default" w:ascii="仿宋_GB2312" w:hAnsi="宋体" w:eastAsia="仿宋_GB2312" w:cs="仿宋_GB2312"/>
          <w:kern w:val="0"/>
          <w:sz w:val="32"/>
          <w:szCs w:val="32"/>
        </w:rPr>
        <w:t>7,717.65</w:t>
      </w:r>
      <w:r>
        <w:rPr>
          <w:rFonts w:hint="default" w:ascii="仿宋_GB2312" w:hAnsi="ˎ̥" w:eastAsia="仿宋_GB2312" w:cs="仿宋_GB2312"/>
          <w:kern w:val="0"/>
          <w:sz w:val="32"/>
          <w:szCs w:val="32"/>
        </w:rPr>
        <w:t>万元，与2021年度相比，收入、支出总计各减少4,557.17万元，下降37.13%。主要原因：一是受疫情影响，智慧校园（中职类）管理系统项目和</w:t>
      </w:r>
      <w:r>
        <w:rPr>
          <w:rFonts w:hint="eastAsia" w:ascii="宋体" w:hAnsi="宋体" w:eastAsia="宋体" w:cs="宋体"/>
          <w:kern w:val="0"/>
          <w:sz w:val="32"/>
          <w:szCs w:val="32"/>
        </w:rPr>
        <w:t>“</w:t>
      </w:r>
      <w:r>
        <w:rPr>
          <w:rFonts w:hint="default" w:ascii="仿宋_GB2312" w:hAnsi="ˎ̥" w:eastAsia="仿宋_GB2312" w:cs="仿宋_GB2312"/>
          <w:kern w:val="0"/>
          <w:sz w:val="32"/>
          <w:szCs w:val="32"/>
        </w:rPr>
        <w:t>智慧校园建设项目</w:t>
      </w:r>
      <w:r>
        <w:rPr>
          <w:rFonts w:hint="eastAsia" w:ascii="宋体" w:hAnsi="宋体" w:eastAsia="宋体" w:cs="宋体"/>
          <w:kern w:val="0"/>
          <w:sz w:val="32"/>
          <w:szCs w:val="32"/>
        </w:rPr>
        <w:t>”</w:t>
      </w:r>
      <w:r>
        <w:rPr>
          <w:rFonts w:hint="default" w:ascii="仿宋_GB2312" w:hAnsi="ˎ̥" w:eastAsia="仿宋_GB2312" w:cs="仿宋_GB2312"/>
          <w:kern w:val="0"/>
          <w:sz w:val="32"/>
          <w:szCs w:val="32"/>
        </w:rPr>
        <w:t>软硬件设备及材料采购项目的招标工作延误，造成项目资金共计855.17万元未能及时支出；二是本年项目资金安排较去年减少。使用非财政拨款结余</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万元，较2021年度决算数持平。年初结转结余</w:t>
      </w:r>
      <w:r>
        <w:rPr>
          <w:rFonts w:hint="default" w:ascii="仿宋_GB2312" w:hAnsi="宋体" w:eastAsia="仿宋_GB2312" w:cs="仿宋_GB2312"/>
          <w:kern w:val="0"/>
          <w:sz w:val="32"/>
          <w:szCs w:val="32"/>
        </w:rPr>
        <w:t>525.06</w:t>
      </w:r>
      <w:r>
        <w:rPr>
          <w:rFonts w:hint="default" w:ascii="仿宋_GB2312" w:hAnsi="ˎ̥" w:eastAsia="仿宋_GB2312" w:cs="仿宋_GB2312"/>
          <w:kern w:val="0"/>
          <w:sz w:val="32"/>
          <w:szCs w:val="32"/>
        </w:rPr>
        <w:t>万元，主要是2021年学生资助补助经费项目事业单位绩效工资结余以及现代职业教育质量提升计划专项资金结余，较2021年度决算数增加453.31万元，增长631.79%，主要原因是受疫情影响，学生资助补助经费项目资金未能按时支出。结余分配</w:t>
      </w:r>
      <w:r>
        <w:rPr>
          <w:rFonts w:hint="default" w:ascii="仿宋_GB2312" w:hAnsi="宋体" w:eastAsia="仿宋_GB2312" w:cs="仿宋_GB2312"/>
          <w:kern w:val="0"/>
          <w:sz w:val="32"/>
          <w:szCs w:val="32"/>
        </w:rPr>
        <w:t>0.02</w:t>
      </w:r>
      <w:r>
        <w:rPr>
          <w:rFonts w:hint="default" w:ascii="仿宋_GB2312" w:hAnsi="ˎ̥" w:eastAsia="仿宋_GB2312" w:cs="仿宋_GB2312"/>
          <w:kern w:val="0"/>
          <w:sz w:val="32"/>
          <w:szCs w:val="32"/>
        </w:rPr>
        <w:t>万元，主要是单位资金其他结余转入非财政拨款结余-累计结余，较2021年度决算数减少0.93万元，下降97.89%，主要原因是单位资金其他结余减少。年末结转结余</w:t>
      </w:r>
      <w:r>
        <w:rPr>
          <w:rFonts w:hint="default" w:ascii="仿宋_GB2312" w:hAnsi="宋体" w:eastAsia="仿宋_GB2312" w:cs="仿宋_GB2312"/>
          <w:kern w:val="0"/>
          <w:sz w:val="32"/>
          <w:szCs w:val="32"/>
        </w:rPr>
        <w:t>1.86</w:t>
      </w:r>
      <w:r>
        <w:rPr>
          <w:rFonts w:hint="default" w:ascii="仿宋_GB2312" w:hAnsi="ˎ̥" w:eastAsia="仿宋_GB2312" w:cs="仿宋_GB2312"/>
          <w:kern w:val="0"/>
          <w:sz w:val="32"/>
          <w:szCs w:val="32"/>
        </w:rPr>
        <w:t>万元，主要是</w:t>
      </w:r>
      <w:r>
        <w:rPr>
          <w:rFonts w:hint="eastAsia" w:ascii="仿宋" w:hAnsi="仿宋" w:eastAsia="仿宋" w:cs="仿宋"/>
          <w:kern w:val="0"/>
          <w:sz w:val="32"/>
          <w:szCs w:val="32"/>
        </w:rPr>
        <w:t>工程节余款</w:t>
      </w:r>
      <w:r>
        <w:rPr>
          <w:rFonts w:hint="default" w:ascii="仿宋_GB2312" w:hAnsi="ˎ̥" w:eastAsia="仿宋_GB2312" w:cs="仿宋_GB2312"/>
          <w:kern w:val="0"/>
          <w:sz w:val="32"/>
          <w:szCs w:val="32"/>
        </w:rPr>
        <w:t>，较2021年度决算数减少1,246.83万元，下降99.85%，主要原因是项目结转结余减少。</w:t>
      </w:r>
    </w:p>
    <w:p w14:paraId="0A45FCE8">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r>
        <w:rPr>
          <w:rFonts w:hint="eastAsia" w:ascii="黑体" w:hAnsi="宋体" w:eastAsia="黑体" w:cs="黑体"/>
          <w:bCs/>
          <w:kern w:val="0"/>
          <w:sz w:val="32"/>
          <w:szCs w:val="32"/>
        </w:rPr>
        <w:t>二、收入决算情况说明</w:t>
      </w:r>
      <w:r>
        <w:rPr>
          <w:rFonts w:hint="eastAsia" w:ascii="黑体" w:hAnsi="宋体" w:eastAsia="黑体" w:cs="黑体"/>
          <w:bCs/>
          <w:kern w:val="0"/>
          <w:sz w:val="32"/>
          <w:szCs w:val="32"/>
        </w:rPr>
        <w:br w:type="textWrapping"/>
      </w:r>
      <w:r>
        <w:rPr>
          <w:rFonts w:hint="default" w:ascii="仿宋_GB2312" w:hAnsi="ˎ̥" w:eastAsia="仿宋_GB2312" w:cs="仿宋_GB2312"/>
          <w:kern w:val="0"/>
          <w:sz w:val="32"/>
          <w:szCs w:val="32"/>
        </w:rPr>
        <w:t xml:space="preserve">    本年收入合计</w:t>
      </w:r>
      <w:r>
        <w:rPr>
          <w:rFonts w:hint="default" w:ascii="仿宋_GB2312" w:hAnsi="宋体" w:eastAsia="仿宋_GB2312" w:cs="仿宋_GB2312"/>
          <w:kern w:val="0"/>
          <w:sz w:val="32"/>
          <w:szCs w:val="32"/>
        </w:rPr>
        <w:t>7,192.59</w:t>
      </w:r>
      <w:r>
        <w:rPr>
          <w:rFonts w:hint="default" w:ascii="仿宋_GB2312" w:hAnsi="ˎ̥" w:eastAsia="仿宋_GB2312" w:cs="仿宋_GB2312"/>
          <w:kern w:val="0"/>
          <w:sz w:val="32"/>
          <w:szCs w:val="32"/>
        </w:rPr>
        <w:t>万元，其中：财政拨款收入</w:t>
      </w:r>
      <w:r>
        <w:rPr>
          <w:rFonts w:hint="default" w:ascii="仿宋_GB2312" w:hAnsi="宋体" w:eastAsia="仿宋_GB2312" w:cs="仿宋_GB2312"/>
          <w:kern w:val="0"/>
          <w:sz w:val="32"/>
          <w:szCs w:val="32"/>
        </w:rPr>
        <w:t>6,911.89</w:t>
      </w:r>
      <w:r>
        <w:rPr>
          <w:rFonts w:hint="default" w:ascii="仿宋_GB2312" w:hAnsi="ˎ̥" w:eastAsia="仿宋_GB2312" w:cs="仿宋_GB2312"/>
          <w:kern w:val="0"/>
          <w:sz w:val="32"/>
          <w:szCs w:val="32"/>
        </w:rPr>
        <w:t>万元，占96.1%；上级补助收入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万元，占0%；事业收入</w:t>
      </w:r>
      <w:r>
        <w:rPr>
          <w:rFonts w:hint="default" w:ascii="仿宋_GB2312" w:hAnsi="宋体" w:eastAsia="仿宋_GB2312" w:cs="仿宋_GB2312"/>
          <w:kern w:val="0"/>
          <w:sz w:val="32"/>
          <w:szCs w:val="32"/>
        </w:rPr>
        <w:t>279.55</w:t>
      </w:r>
      <w:r>
        <w:rPr>
          <w:rFonts w:hint="default" w:ascii="仿宋_GB2312" w:hAnsi="ˎ̥" w:eastAsia="仿宋_GB2312" w:cs="仿宋_GB2312"/>
          <w:kern w:val="0"/>
          <w:sz w:val="32"/>
          <w:szCs w:val="32"/>
        </w:rPr>
        <w:t>万元，占3.88%；经营收入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万元，占0%；附属单位上缴收入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万元，占0%；其他收入</w:t>
      </w:r>
      <w:r>
        <w:rPr>
          <w:rFonts w:hint="default" w:ascii="仿宋_GB2312" w:hAnsi="宋体" w:eastAsia="仿宋_GB2312" w:cs="仿宋_GB2312"/>
          <w:kern w:val="0"/>
          <w:sz w:val="32"/>
          <w:szCs w:val="32"/>
        </w:rPr>
        <w:t>1.16</w:t>
      </w:r>
      <w:r>
        <w:rPr>
          <w:rFonts w:hint="default" w:ascii="仿宋_GB2312" w:hAnsi="ˎ̥" w:eastAsia="仿宋_GB2312" w:cs="仿宋_GB2312"/>
          <w:kern w:val="0"/>
          <w:sz w:val="32"/>
          <w:szCs w:val="32"/>
        </w:rPr>
        <w:t>万元，占0.02%。</w:t>
      </w:r>
    </w:p>
    <w:p w14:paraId="25896751">
      <w:pPr>
        <w:keepNext w:val="0"/>
        <w:keepLines w:val="0"/>
        <w:widowControl/>
        <w:suppressLineNumbers w:val="0"/>
        <w:spacing w:before="0" w:beforeAutospacing="1" w:after="0" w:afterAutospacing="1"/>
        <w:ind w:left="470" w:leftChars="196" w:right="0"/>
        <w:rPr>
          <w:rFonts w:hint="eastAsia" w:ascii="黑体" w:hAnsi="宋体" w:eastAsia="黑体" w:cs="黑体"/>
          <w:bCs/>
          <w:kern w:val="0"/>
          <w:sz w:val="32"/>
          <w:szCs w:val="32"/>
        </w:rPr>
      </w:pPr>
      <w:r>
        <w:rPr>
          <w:rFonts w:hint="default" w:ascii="仿宋_GB2312" w:hAnsi="ˎ̥" w:eastAsia="仿宋_GB2312" w:cs="仿宋_GB2312"/>
          <w:kern w:val="0"/>
          <w:sz w:val="32"/>
          <w:szCs w:val="32"/>
        </w:rPr>
        <w:t xml:space="preserve">  </w:t>
      </w:r>
      <w:r>
        <w:rPr>
          <w:rFonts w:hint="eastAsia" w:ascii="黑体" w:hAnsi="宋体" w:eastAsia="黑体" w:cs="黑体"/>
          <w:bCs/>
          <w:kern w:val="0"/>
          <w:sz w:val="32"/>
          <w:szCs w:val="32"/>
        </w:rPr>
        <w:t>三、支出决算情况说明</w:t>
      </w:r>
    </w:p>
    <w:p w14:paraId="7A7793A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本年支出合计</w:t>
      </w:r>
      <w:r>
        <w:rPr>
          <w:rFonts w:hint="default" w:ascii="仿宋_GB2312" w:hAnsi="宋体" w:eastAsia="仿宋_GB2312" w:cs="仿宋_GB2312"/>
          <w:kern w:val="0"/>
          <w:sz w:val="32"/>
          <w:szCs w:val="32"/>
        </w:rPr>
        <w:t>7,715.77</w:t>
      </w:r>
      <w:r>
        <w:rPr>
          <w:rFonts w:hint="default" w:ascii="仿宋_GB2312" w:hAnsi="ˎ̥" w:eastAsia="仿宋_GB2312" w:cs="仿宋_GB2312"/>
          <w:kern w:val="0"/>
          <w:sz w:val="32"/>
          <w:szCs w:val="32"/>
        </w:rPr>
        <w:t>万元，其中：基本支出</w:t>
      </w:r>
      <w:r>
        <w:rPr>
          <w:rFonts w:hint="default" w:ascii="仿宋_GB2312" w:hAnsi="宋体" w:eastAsia="仿宋_GB2312" w:cs="仿宋_GB2312"/>
          <w:kern w:val="0"/>
          <w:sz w:val="32"/>
          <w:szCs w:val="32"/>
        </w:rPr>
        <w:t>4,105.63</w:t>
      </w:r>
      <w:r>
        <w:rPr>
          <w:rFonts w:hint="default" w:ascii="仿宋_GB2312" w:hAnsi="ˎ̥" w:eastAsia="仿宋_GB2312" w:cs="仿宋_GB2312"/>
          <w:kern w:val="0"/>
          <w:sz w:val="32"/>
          <w:szCs w:val="32"/>
        </w:rPr>
        <w:t>万元，占53.21%；项目支出</w:t>
      </w:r>
      <w:r>
        <w:rPr>
          <w:rFonts w:hint="default" w:ascii="仿宋_GB2312" w:hAnsi="宋体" w:eastAsia="仿宋_GB2312" w:cs="仿宋_GB2312"/>
          <w:kern w:val="0"/>
          <w:sz w:val="32"/>
          <w:szCs w:val="32"/>
        </w:rPr>
        <w:t>3,610.14</w:t>
      </w:r>
      <w:r>
        <w:rPr>
          <w:rFonts w:hint="default" w:ascii="仿宋_GB2312" w:hAnsi="ˎ̥" w:eastAsia="仿宋_GB2312" w:cs="仿宋_GB2312"/>
          <w:kern w:val="0"/>
          <w:sz w:val="32"/>
          <w:szCs w:val="32"/>
        </w:rPr>
        <w:t>万元，占46.79%；上缴上级支出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万元，占0%；经营支出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万元，占0%；对附属单位补助支出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w:t>
      </w:r>
    </w:p>
    <w:p w14:paraId="2A4A16C2">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四、财政拨款收入支出决算总体情况说明</w:t>
      </w:r>
    </w:p>
    <w:p w14:paraId="271E3F0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2022年度财政拨款收入</w:t>
      </w:r>
      <w:r>
        <w:rPr>
          <w:rFonts w:hint="default" w:ascii="仿宋_GB2312" w:hAnsi="宋体" w:eastAsia="仿宋_GB2312" w:cs="仿宋_GB2312"/>
          <w:kern w:val="0"/>
          <w:sz w:val="32"/>
          <w:szCs w:val="32"/>
        </w:rPr>
        <w:t>7,435.08</w:t>
      </w:r>
      <w:r>
        <w:rPr>
          <w:rFonts w:hint="default" w:ascii="仿宋_GB2312" w:hAnsi="ˎ̥" w:eastAsia="仿宋_GB2312" w:cs="仿宋_GB2312"/>
          <w:kern w:val="0"/>
          <w:sz w:val="32"/>
          <w:szCs w:val="32"/>
        </w:rPr>
        <w:t>万元，支出</w:t>
      </w:r>
      <w:r>
        <w:rPr>
          <w:rFonts w:hint="default" w:ascii="仿宋_GB2312" w:hAnsi="宋体" w:eastAsia="仿宋_GB2312" w:cs="仿宋_GB2312"/>
          <w:kern w:val="0"/>
          <w:sz w:val="32"/>
          <w:szCs w:val="32"/>
        </w:rPr>
        <w:t>7,435.08</w:t>
      </w:r>
      <w:r>
        <w:rPr>
          <w:rFonts w:hint="default" w:ascii="仿宋_GB2312" w:hAnsi="ˎ̥" w:eastAsia="仿宋_GB2312" w:cs="仿宋_GB2312"/>
          <w:kern w:val="0"/>
          <w:sz w:val="32"/>
          <w:szCs w:val="32"/>
        </w:rPr>
        <w:t>万元。与2021年度相比，财政拨款收入、支出各减少4,640万元，下降38.43%。主要原因：一是受疫情影响，智慧校园（中职类）管理系统项目和</w:t>
      </w:r>
      <w:r>
        <w:rPr>
          <w:rFonts w:hint="eastAsia" w:ascii="宋体" w:hAnsi="宋体" w:eastAsia="宋体" w:cs="宋体"/>
          <w:kern w:val="0"/>
          <w:sz w:val="32"/>
          <w:szCs w:val="32"/>
        </w:rPr>
        <w:t>“</w:t>
      </w:r>
      <w:r>
        <w:rPr>
          <w:rFonts w:hint="default" w:ascii="仿宋_GB2312" w:hAnsi="ˎ̥" w:eastAsia="仿宋_GB2312" w:cs="仿宋_GB2312"/>
          <w:kern w:val="0"/>
          <w:sz w:val="32"/>
          <w:szCs w:val="32"/>
        </w:rPr>
        <w:t>智慧校园建设项目</w:t>
      </w:r>
      <w:r>
        <w:rPr>
          <w:rFonts w:hint="eastAsia" w:ascii="宋体" w:hAnsi="宋体" w:eastAsia="宋体" w:cs="宋体"/>
          <w:kern w:val="0"/>
          <w:sz w:val="32"/>
          <w:szCs w:val="32"/>
        </w:rPr>
        <w:t>”</w:t>
      </w:r>
      <w:r>
        <w:rPr>
          <w:rFonts w:hint="default" w:ascii="仿宋_GB2312" w:hAnsi="ˎ̥" w:eastAsia="仿宋_GB2312" w:cs="仿宋_GB2312"/>
          <w:kern w:val="0"/>
          <w:sz w:val="32"/>
          <w:szCs w:val="32"/>
        </w:rPr>
        <w:t>软硬件设备及材料采购项目的招标工作延误，造成项目资金共计855.17万元未能及时支出；二是本年项目资金安排较去年减少。</w:t>
      </w:r>
    </w:p>
    <w:p w14:paraId="4734D6F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财政拨款年初结转结余</w:t>
      </w:r>
      <w:r>
        <w:rPr>
          <w:rFonts w:hint="default" w:ascii="仿宋_GB2312" w:hAnsi="宋体" w:eastAsia="仿宋_GB2312" w:cs="仿宋_GB2312"/>
          <w:kern w:val="0"/>
          <w:sz w:val="32"/>
          <w:szCs w:val="32"/>
        </w:rPr>
        <w:t>523.20</w:t>
      </w:r>
      <w:r>
        <w:rPr>
          <w:rFonts w:hint="default" w:ascii="仿宋_GB2312" w:hAnsi="ˎ̥" w:eastAsia="仿宋_GB2312" w:cs="仿宋_GB2312"/>
          <w:kern w:val="0"/>
          <w:sz w:val="32"/>
          <w:szCs w:val="32"/>
        </w:rPr>
        <w:t>万元，主要是2021年学生资助补助经费项目事业单位绩效工资结余以及现代职业教育质量提升计划专项资金结余，较2021年度决算数增加405.02万元，增长685.43%，主要原因是受疫情影响，学生资助补助经费项目资金未能按时支出。</w:t>
      </w:r>
    </w:p>
    <w:p w14:paraId="192A99A0">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财政拨款年末结转结余</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万元，较2021年度年末决算数减少1,236.02万元，下降100%，主要原因是2022年无项目结转结余。</w:t>
      </w:r>
    </w:p>
    <w:p w14:paraId="390988B5">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五、一般公共预算财政拨款支出决算情况说明</w:t>
      </w:r>
    </w:p>
    <w:p w14:paraId="01293325">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（一）一般公共预算财政拨款支出决算总体情况。</w:t>
      </w:r>
    </w:p>
    <w:p w14:paraId="0A252FEB">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7,435.08</w:t>
      </w:r>
      <w:r>
        <w:rPr>
          <w:rFonts w:hint="default" w:ascii="仿宋_GB2312" w:hAnsi="ˎ̥" w:eastAsia="仿宋_GB2312" w:cs="仿宋_GB2312"/>
          <w:kern w:val="0"/>
          <w:sz w:val="32"/>
          <w:szCs w:val="32"/>
        </w:rPr>
        <w:t>万元，占本年支出合计的96.36%。与2021年度相比，一般公共预算财政拨款支出减少3,404.31万元，下降31.41%，主要原因：一是受疫情影响，智慧校园（中职类）管理系统项目和</w:t>
      </w:r>
      <w:r>
        <w:rPr>
          <w:rFonts w:hint="eastAsia" w:ascii="宋体" w:hAnsi="宋体" w:eastAsia="宋体" w:cs="宋体"/>
          <w:kern w:val="0"/>
          <w:sz w:val="32"/>
          <w:szCs w:val="32"/>
        </w:rPr>
        <w:t>“</w:t>
      </w:r>
      <w:r>
        <w:rPr>
          <w:rFonts w:hint="default" w:ascii="仿宋_GB2312" w:hAnsi="ˎ̥" w:eastAsia="仿宋_GB2312" w:cs="仿宋_GB2312"/>
          <w:kern w:val="0"/>
          <w:sz w:val="32"/>
          <w:szCs w:val="32"/>
        </w:rPr>
        <w:t>智慧校园建设项目</w:t>
      </w:r>
      <w:r>
        <w:rPr>
          <w:rFonts w:hint="eastAsia" w:ascii="宋体" w:hAnsi="宋体" w:eastAsia="宋体" w:cs="宋体"/>
          <w:kern w:val="0"/>
          <w:sz w:val="32"/>
          <w:szCs w:val="32"/>
        </w:rPr>
        <w:t>”</w:t>
      </w:r>
      <w:r>
        <w:rPr>
          <w:rFonts w:hint="default" w:ascii="仿宋_GB2312" w:hAnsi="ˎ̥" w:eastAsia="仿宋_GB2312" w:cs="仿宋_GB2312"/>
          <w:kern w:val="0"/>
          <w:sz w:val="32"/>
          <w:szCs w:val="32"/>
        </w:rPr>
        <w:t>软硬件设备及材料采购项目的招标工作延误，造成项目资金共计855.17万元未能及时支出；二是本年项目资金安排较去年减少。。</w:t>
      </w:r>
    </w:p>
    <w:p w14:paraId="68079FE9">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（二）一般公共预算财政拨款支出决算结构情况。</w:t>
      </w:r>
    </w:p>
    <w:p w14:paraId="6C26604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7,435.08</w:t>
      </w:r>
      <w:r>
        <w:rPr>
          <w:rFonts w:hint="default" w:ascii="仿宋_GB2312" w:hAnsi="ˎ̥" w:eastAsia="仿宋_GB2312" w:cs="仿宋_GB2312"/>
          <w:kern w:val="0"/>
          <w:sz w:val="32"/>
          <w:szCs w:val="32"/>
        </w:rPr>
        <w:t>万元，主要用于以下方面：</w:t>
      </w:r>
      <w:r>
        <w:rPr>
          <w:rFonts w:hint="default" w:ascii="仿宋_GB2312" w:hAnsi="ˎ̥" w:eastAsia="仿宋_GB2312" w:cs="仿宋_GB2312"/>
          <w:b/>
          <w:bCs w:val="0"/>
          <w:kern w:val="0"/>
          <w:sz w:val="32"/>
          <w:szCs w:val="32"/>
        </w:rPr>
        <w:t>一般公共服务（类）</w:t>
      </w:r>
      <w:r>
        <w:rPr>
          <w:rFonts w:hint="default" w:ascii="仿宋_GB2312" w:hAnsi="ˎ̥" w:eastAsia="仿宋_GB2312" w:cs="仿宋_GB2312"/>
          <w:kern w:val="0"/>
          <w:sz w:val="32"/>
          <w:szCs w:val="32"/>
        </w:rPr>
        <w:t>支出6,420.56万元，占86.36%；</w:t>
      </w:r>
      <w:r>
        <w:rPr>
          <w:rFonts w:hint="default" w:ascii="仿宋_GB2312" w:hAnsi="ˎ̥" w:eastAsia="仿宋_GB2312" w:cs="仿宋_GB2312"/>
          <w:b/>
          <w:bCs w:val="0"/>
          <w:kern w:val="0"/>
          <w:sz w:val="32"/>
          <w:szCs w:val="32"/>
        </w:rPr>
        <w:t>社会保障和就业（类）</w:t>
      </w:r>
      <w:r>
        <w:rPr>
          <w:rFonts w:hint="default" w:ascii="仿宋_GB2312" w:hAnsi="ˎ̥" w:eastAsia="仿宋_GB2312" w:cs="仿宋_GB2312"/>
          <w:kern w:val="0"/>
          <w:sz w:val="32"/>
          <w:szCs w:val="32"/>
        </w:rPr>
        <w:t>支出581.69万元，占7.82%；</w:t>
      </w:r>
      <w:r>
        <w:rPr>
          <w:rFonts w:hint="default" w:ascii="仿宋_GB2312" w:hAnsi="ˎ̥" w:eastAsia="仿宋_GB2312" w:cs="仿宋_GB2312"/>
          <w:b/>
          <w:bCs/>
          <w:kern w:val="0"/>
          <w:sz w:val="32"/>
          <w:szCs w:val="32"/>
        </w:rPr>
        <w:t>住房保障（类）</w:t>
      </w:r>
      <w:r>
        <w:rPr>
          <w:rFonts w:hint="default" w:ascii="仿宋_GB2312" w:hAnsi="ˎ̥" w:eastAsia="仿宋_GB2312" w:cs="仿宋_GB2312"/>
          <w:kern w:val="0"/>
          <w:sz w:val="32"/>
          <w:szCs w:val="32"/>
        </w:rPr>
        <w:t>支出229.94万元，占3.09%；</w:t>
      </w:r>
      <w:r>
        <w:rPr>
          <w:rFonts w:hint="default" w:ascii="仿宋_GB2312" w:hAnsi="ˎ̥" w:eastAsia="仿宋_GB2312" w:cs="仿宋_GB2312"/>
          <w:b/>
          <w:bCs/>
          <w:kern w:val="0"/>
          <w:sz w:val="32"/>
          <w:szCs w:val="32"/>
        </w:rPr>
        <w:t>卫生健康（类）</w:t>
      </w:r>
      <w:r>
        <w:rPr>
          <w:rFonts w:hint="default" w:ascii="仿宋_GB2312" w:hAnsi="ˎ̥" w:eastAsia="仿宋_GB2312" w:cs="仿宋_GB2312"/>
          <w:kern w:val="0"/>
          <w:sz w:val="32"/>
          <w:szCs w:val="32"/>
        </w:rPr>
        <w:t>支出202.89万元，占2.73%。</w:t>
      </w:r>
    </w:p>
    <w:p w14:paraId="1D302A22">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（三）一般公共预算财政拨款支出决算具体情况。</w:t>
      </w:r>
    </w:p>
    <w:p w14:paraId="2B56206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2022年度一般公共预算财政拨款支出年初预算为9,300.83万元，支出决算为</w:t>
      </w:r>
      <w:r>
        <w:rPr>
          <w:rFonts w:hint="default" w:ascii="仿宋_GB2312" w:hAnsi="宋体" w:eastAsia="仿宋_GB2312" w:cs="仿宋_GB2312"/>
          <w:kern w:val="0"/>
          <w:sz w:val="32"/>
          <w:szCs w:val="32"/>
        </w:rPr>
        <w:t>7,435.08</w:t>
      </w:r>
      <w:r>
        <w:rPr>
          <w:rFonts w:hint="default" w:ascii="仿宋_GB2312" w:hAnsi="ˎ̥" w:eastAsia="仿宋_GB2312" w:cs="仿宋_GB2312"/>
          <w:kern w:val="0"/>
          <w:sz w:val="32"/>
          <w:szCs w:val="32"/>
        </w:rPr>
        <w:t>万元，完成年初预算的79.94%。其中：</w:t>
      </w:r>
    </w:p>
    <w:p w14:paraId="7250C94F">
      <w:pPr>
        <w:keepNext w:val="0"/>
        <w:keepLines w:val="0"/>
        <w:widowControl/>
        <w:suppressLineNumbers w:val="0"/>
        <w:ind w:left="0" w:firstLine="643" w:firstLineChars="200"/>
        <w:rPr>
          <w:rFonts w:hint="default" w:ascii="仿宋_GB2312" w:hAnsi="ˎ̥" w:eastAsia="仿宋_GB2312" w:cs="宋体"/>
          <w:kern w:val="0"/>
          <w:sz w:val="32"/>
          <w:szCs w:val="32"/>
        </w:rPr>
      </w:pPr>
      <w:r>
        <w:rPr>
          <w:rFonts w:hint="default" w:ascii="仿宋_GB2312" w:hAnsi="ˎ̥" w:eastAsia="仿宋_GB2312" w:cs="仿宋_GB2312"/>
          <w:b/>
          <w:bCs/>
          <w:kern w:val="0"/>
          <w:sz w:val="32"/>
          <w:szCs w:val="32"/>
        </w:rPr>
        <w:t>1.</w:t>
      </w:r>
      <w:r>
        <w:rPr>
          <w:rFonts w:hint="eastAsia" w:ascii="仿宋" w:hAnsi="仿宋" w:eastAsia="仿宋" w:cs="仿宋"/>
          <w:b/>
          <w:bCs/>
          <w:kern w:val="0"/>
          <w:sz w:val="32"/>
          <w:szCs w:val="32"/>
        </w:rPr>
        <w:t>教育支出（类）职业教育（款）中等职业教育（项）。</w:t>
      </w:r>
      <w:r>
        <w:rPr>
          <w:rFonts w:hint="default" w:ascii="仿宋_GB2312" w:hAnsi="ˎ̥" w:eastAsia="仿宋_GB2312" w:cs="仿宋_GB2312"/>
          <w:kern w:val="0"/>
          <w:sz w:val="32"/>
          <w:szCs w:val="32"/>
        </w:rPr>
        <w:t>年初预算为8,346.57万元，支出决算为6,420.56万元，完成年初预算的76.92%。决算数小于预算数的主要原因：项目支出存在结转结余。</w:t>
      </w:r>
    </w:p>
    <w:p w14:paraId="1D97624D">
      <w:pPr>
        <w:keepNext w:val="0"/>
        <w:keepLines w:val="0"/>
        <w:widowControl/>
        <w:suppressLineNumbers w:val="0"/>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val="0"/>
          <w:color w:val="000000"/>
          <w:kern w:val="0"/>
          <w:sz w:val="32"/>
          <w:szCs w:val="32"/>
        </w:rPr>
        <w:t>2.社会保障和就业支出（类）行政事业单位养老支出（款）机关事业单位基本养老保险缴费支出（项）。</w:t>
      </w:r>
      <w:r>
        <w:rPr>
          <w:rFonts w:hint="default" w:ascii="仿宋_GB2312" w:hAnsi="ˎ̥" w:eastAsia="仿宋_GB2312" w:cs="仿宋_GB2312"/>
          <w:kern w:val="0"/>
          <w:sz w:val="32"/>
          <w:szCs w:val="32"/>
        </w:rPr>
        <w:t>年初预算为372万元，支出决算为</w:t>
      </w:r>
      <w:r>
        <w:rPr>
          <w:rFonts w:hint="eastAsia" w:ascii="仿宋" w:hAnsi="仿宋" w:eastAsia="仿宋" w:cs="仿宋"/>
          <w:kern w:val="0"/>
          <w:sz w:val="32"/>
          <w:szCs w:val="32"/>
        </w:rPr>
        <w:t>407.53</w:t>
      </w:r>
      <w:r>
        <w:rPr>
          <w:rFonts w:hint="default" w:ascii="仿宋_GB2312" w:hAnsi="ˎ̥" w:eastAsia="仿宋_GB2312" w:cs="仿宋_GB2312"/>
          <w:kern w:val="0"/>
          <w:sz w:val="32"/>
          <w:szCs w:val="32"/>
        </w:rPr>
        <w:t>万元，完成年初预算的109.55%。决算数大于预算数的主要原因：年中项目根据实际情况进行项目调整。</w:t>
      </w:r>
    </w:p>
    <w:p w14:paraId="4707A8D5">
      <w:pPr>
        <w:keepNext w:val="0"/>
        <w:keepLines w:val="0"/>
        <w:widowControl/>
        <w:suppressLineNumbers w:val="0"/>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kern w:val="0"/>
          <w:sz w:val="32"/>
          <w:szCs w:val="32"/>
        </w:rPr>
        <w:t>3.</w:t>
      </w:r>
      <w:r>
        <w:rPr>
          <w:rFonts w:hint="default" w:ascii="仿宋_GB2312" w:hAnsi="ˎ̥" w:eastAsia="仿宋_GB2312" w:cs="仿宋_GB2312"/>
          <w:b/>
          <w:bCs w:val="0"/>
          <w:color w:val="000000"/>
          <w:kern w:val="0"/>
          <w:sz w:val="32"/>
          <w:szCs w:val="32"/>
        </w:rPr>
        <w:t>社会保障和就业支出（类）行政事业单位养老支出（款）机关事业单位职业年金缴费支出（项）。</w:t>
      </w:r>
      <w:r>
        <w:rPr>
          <w:rFonts w:hint="default" w:ascii="仿宋_GB2312" w:hAnsi="ˎ̥" w:eastAsia="仿宋_GB2312" w:cs="仿宋_GB2312"/>
          <w:kern w:val="0"/>
          <w:sz w:val="32"/>
          <w:szCs w:val="32"/>
        </w:rPr>
        <w:t>年初预算为191万元，支出决算为</w:t>
      </w:r>
      <w:r>
        <w:rPr>
          <w:rFonts w:hint="eastAsia" w:ascii="仿宋" w:hAnsi="仿宋" w:eastAsia="仿宋" w:cs="仿宋"/>
          <w:kern w:val="0"/>
          <w:sz w:val="32"/>
          <w:szCs w:val="32"/>
        </w:rPr>
        <w:t>170.77</w:t>
      </w:r>
      <w:r>
        <w:rPr>
          <w:rFonts w:hint="default" w:ascii="仿宋_GB2312" w:hAnsi="ˎ̥" w:eastAsia="仿宋_GB2312" w:cs="仿宋_GB2312"/>
          <w:kern w:val="0"/>
          <w:sz w:val="32"/>
          <w:szCs w:val="32"/>
        </w:rPr>
        <w:t>万元，完成年初预算的89.4%。决算数大于预算数的主要原因：</w:t>
      </w:r>
      <w:r>
        <w:rPr>
          <w:rFonts w:hint="default" w:ascii="仿宋_GB2312" w:hAnsi="ˎ̥" w:eastAsia="仿宋_GB2312" w:cs="仿宋_GB2312"/>
          <w:color w:val="000000"/>
          <w:kern w:val="0"/>
          <w:sz w:val="32"/>
          <w:szCs w:val="32"/>
        </w:rPr>
        <w:t>本年度有人员退休</w:t>
      </w:r>
      <w:r>
        <w:rPr>
          <w:rFonts w:hint="default" w:ascii="仿宋_GB2312" w:hAnsi="ˎ̥" w:eastAsia="仿宋_GB2312" w:cs="仿宋_GB2312"/>
          <w:kern w:val="0"/>
          <w:sz w:val="32"/>
          <w:szCs w:val="32"/>
        </w:rPr>
        <w:t>。</w:t>
      </w:r>
    </w:p>
    <w:p w14:paraId="6DC67694">
      <w:pPr>
        <w:keepNext w:val="0"/>
        <w:keepLines w:val="0"/>
        <w:widowControl/>
        <w:suppressLineNumbers w:val="0"/>
        <w:ind w:left="0" w:firstLine="643" w:firstLineChars="200"/>
        <w:rPr>
          <w:rFonts w:hint="default" w:ascii="仿宋_GB2312" w:hAnsi="ˎ̥" w:eastAsia="仿宋_GB2312" w:cs="仿宋_GB2312"/>
          <w:kern w:val="0"/>
          <w:sz w:val="32"/>
          <w:szCs w:val="32"/>
        </w:rPr>
      </w:pPr>
      <w:r>
        <w:rPr>
          <w:rFonts w:hint="default" w:ascii="仿宋_GB2312" w:hAnsi="ˎ̥" w:eastAsia="仿宋_GB2312" w:cs="仿宋_GB2312"/>
          <w:b/>
          <w:bCs/>
          <w:kern w:val="0"/>
          <w:sz w:val="32"/>
          <w:szCs w:val="32"/>
        </w:rPr>
        <w:t>4.</w:t>
      </w:r>
      <w:r>
        <w:rPr>
          <w:rFonts w:hint="default" w:ascii="仿宋_GB2312" w:hAnsi="ˎ̥" w:eastAsia="仿宋_GB2312" w:cs="仿宋_GB2312"/>
          <w:b/>
          <w:bCs/>
          <w:color w:val="000000"/>
          <w:kern w:val="0"/>
          <w:sz w:val="32"/>
          <w:szCs w:val="32"/>
        </w:rPr>
        <w:t>社</w:t>
      </w:r>
      <w:r>
        <w:rPr>
          <w:rFonts w:hint="default" w:ascii="仿宋_GB2312" w:hAnsi="ˎ̥" w:eastAsia="仿宋_GB2312" w:cs="仿宋_GB2312"/>
          <w:b/>
          <w:bCs w:val="0"/>
          <w:color w:val="000000"/>
          <w:kern w:val="0"/>
          <w:sz w:val="32"/>
          <w:szCs w:val="32"/>
        </w:rPr>
        <w:t>会保障和就业支出（类）抚恤（款）其他优抚支出（项）。</w:t>
      </w:r>
      <w:r>
        <w:rPr>
          <w:rFonts w:hint="default" w:ascii="仿宋_GB2312" w:hAnsi="ˎ̥" w:eastAsia="仿宋_GB2312" w:cs="仿宋_GB2312"/>
          <w:kern w:val="0"/>
          <w:sz w:val="32"/>
          <w:szCs w:val="32"/>
        </w:rPr>
        <w:t>年初预算为2.88万元，支出决算为</w:t>
      </w:r>
      <w:r>
        <w:rPr>
          <w:rFonts w:hint="eastAsia" w:ascii="仿宋" w:hAnsi="仿宋" w:eastAsia="仿宋" w:cs="仿宋"/>
          <w:kern w:val="0"/>
          <w:sz w:val="32"/>
          <w:szCs w:val="32"/>
        </w:rPr>
        <w:t>3.39</w:t>
      </w:r>
      <w:r>
        <w:rPr>
          <w:rFonts w:hint="default" w:ascii="仿宋_GB2312" w:hAnsi="ˎ̥" w:eastAsia="仿宋_GB2312" w:cs="仿宋_GB2312"/>
          <w:kern w:val="0"/>
          <w:sz w:val="32"/>
          <w:szCs w:val="32"/>
        </w:rPr>
        <w:t>万元，完成年初预算的117.71%。决算数大于预算数的主要原因：</w:t>
      </w:r>
      <w:r>
        <w:rPr>
          <w:rFonts w:hint="default" w:ascii="仿宋_GB2312" w:hAnsi="ˎ̥" w:eastAsia="仿宋_GB2312" w:cs="仿宋_GB2312"/>
          <w:color w:val="000000"/>
          <w:kern w:val="0"/>
          <w:sz w:val="32"/>
          <w:szCs w:val="32"/>
        </w:rPr>
        <w:t>本年度有在职死亡人员，追加了抚恤金</w:t>
      </w:r>
      <w:r>
        <w:rPr>
          <w:rFonts w:hint="default" w:ascii="仿宋_GB2312" w:hAnsi="ˎ̥" w:eastAsia="仿宋_GB2312" w:cs="仿宋_GB2312"/>
          <w:kern w:val="0"/>
          <w:sz w:val="32"/>
          <w:szCs w:val="32"/>
        </w:rPr>
        <w:t>。</w:t>
      </w:r>
    </w:p>
    <w:p w14:paraId="7567F55D">
      <w:pPr>
        <w:keepNext w:val="0"/>
        <w:keepLines w:val="0"/>
        <w:widowControl/>
        <w:suppressLineNumbers w:val="0"/>
        <w:ind w:left="0" w:firstLine="643" w:firstLineChars="200"/>
        <w:rPr>
          <w:rFonts w:hint="default" w:ascii="仿宋_GB2312" w:hAnsi="ˎ̥" w:eastAsia="仿宋_GB2312" w:cs="宋体"/>
          <w:b/>
          <w:bCs w:val="0"/>
          <w:kern w:val="0"/>
          <w:sz w:val="32"/>
          <w:szCs w:val="32"/>
        </w:rPr>
      </w:pPr>
      <w:r>
        <w:rPr>
          <w:rFonts w:hint="default" w:ascii="仿宋_GB2312" w:hAnsi="ˎ̥" w:eastAsia="仿宋_GB2312" w:cs="仿宋_GB2312"/>
          <w:b/>
          <w:bCs/>
          <w:kern w:val="0"/>
          <w:sz w:val="32"/>
          <w:szCs w:val="32"/>
        </w:rPr>
        <w:t>5.</w:t>
      </w:r>
      <w:r>
        <w:rPr>
          <w:rFonts w:hint="default" w:ascii="仿宋_GB2312" w:hAnsi="ˎ̥" w:eastAsia="仿宋_GB2312" w:cs="仿宋_GB2312"/>
          <w:b/>
          <w:bCs w:val="0"/>
          <w:color w:val="000000"/>
          <w:kern w:val="0"/>
          <w:sz w:val="32"/>
          <w:szCs w:val="32"/>
        </w:rPr>
        <w:t>卫生健康支出（类）行政事业单位医疗（款）行政单位医疗（项）。</w:t>
      </w:r>
      <w:r>
        <w:rPr>
          <w:rFonts w:hint="default" w:ascii="仿宋_GB2312" w:hAnsi="ˎ̥" w:eastAsia="仿宋_GB2312" w:cs="仿宋_GB2312"/>
          <w:kern w:val="0"/>
          <w:sz w:val="32"/>
          <w:szCs w:val="32"/>
        </w:rPr>
        <w:t>年初预算为188.56万元，支出决算为202.89万元，完成年初预算的107.6%。决算数大于预算数的主要原因：年中项目根据实际情况进行项目调整。</w:t>
      </w:r>
    </w:p>
    <w:p w14:paraId="3CCDC67E">
      <w:pPr>
        <w:keepNext w:val="0"/>
        <w:keepLines w:val="0"/>
        <w:widowControl/>
        <w:suppressLineNumbers w:val="0"/>
        <w:ind w:left="0" w:firstLine="643" w:firstLineChars="200"/>
        <w:rPr>
          <w:rFonts w:hint="default" w:ascii="仿宋_GB2312" w:hAnsi="ˎ̥" w:eastAsia="仿宋_GB2312" w:cs="宋体"/>
          <w:kern w:val="0"/>
          <w:sz w:val="32"/>
          <w:szCs w:val="32"/>
        </w:rPr>
      </w:pPr>
      <w:r>
        <w:rPr>
          <w:rFonts w:hint="default" w:ascii="仿宋_GB2312" w:hAnsi="ˎ̥" w:eastAsia="仿宋_GB2312" w:cs="仿宋_GB2312"/>
          <w:b/>
          <w:bCs/>
          <w:kern w:val="0"/>
          <w:sz w:val="32"/>
          <w:szCs w:val="32"/>
        </w:rPr>
        <w:t>6.住房保障支出（类）住房改革支出（款）住房公积金（项）。</w:t>
      </w:r>
      <w:r>
        <w:rPr>
          <w:rFonts w:hint="default" w:ascii="仿宋_GB2312" w:hAnsi="ˎ̥" w:eastAsia="仿宋_GB2312" w:cs="仿宋_GB2312"/>
          <w:kern w:val="0"/>
          <w:sz w:val="32"/>
          <w:szCs w:val="32"/>
        </w:rPr>
        <w:t>年初预算为199.84万元，支出决算为229.94万元，完成年初预算的115.06%。决算数大于预算数的主要原因：年中项目根据实际情况进行项目调整。</w:t>
      </w:r>
    </w:p>
    <w:p w14:paraId="3DA34DED">
      <w:pPr>
        <w:keepNext w:val="0"/>
        <w:keepLines w:val="0"/>
        <w:widowControl/>
        <w:suppressLineNumbers w:val="0"/>
        <w:spacing w:before="0" w:beforeAutospacing="1" w:after="0" w:afterAutospacing="1"/>
        <w:ind w:left="0" w:right="0" w:firstLine="627" w:firstLineChars="196"/>
        <w:rPr>
          <w:rFonts w:hint="eastAsia" w:ascii="黑体" w:hAnsi="宋体" w:eastAsia="黑体" w:cs="黑体"/>
          <w:kern w:val="0"/>
          <w:sz w:val="32"/>
          <w:szCs w:val="32"/>
        </w:rPr>
      </w:pPr>
      <w:r>
        <w:rPr>
          <w:rFonts w:hint="eastAsia" w:ascii="黑体" w:hAnsi="宋体" w:eastAsia="黑体" w:cs="黑体"/>
          <w:bCs/>
          <w:kern w:val="0"/>
          <w:sz w:val="32"/>
          <w:szCs w:val="32"/>
        </w:rPr>
        <w:t>六、一般公共预算财政拨款基本支出决算情况说明。</w:t>
      </w:r>
    </w:p>
    <w:p w14:paraId="2EA9CFD2">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2022年度财政拨款基本支出</w:t>
      </w:r>
      <w:r>
        <w:rPr>
          <w:rFonts w:hint="default" w:ascii="仿宋_GB2312" w:hAnsi="宋体" w:eastAsia="仿宋_GB2312" w:cs="仿宋_GB2312"/>
          <w:kern w:val="0"/>
          <w:sz w:val="32"/>
          <w:szCs w:val="32"/>
        </w:rPr>
        <w:t>3,824.95</w:t>
      </w:r>
      <w:r>
        <w:rPr>
          <w:rFonts w:hint="default" w:ascii="仿宋_GB2312" w:hAnsi="ˎ̥" w:eastAsia="仿宋_GB2312" w:cs="仿宋_GB2312"/>
          <w:kern w:val="0"/>
          <w:sz w:val="32"/>
          <w:szCs w:val="32"/>
        </w:rPr>
        <w:t>万元，其中：人员经费</w:t>
      </w:r>
      <w:r>
        <w:rPr>
          <w:rFonts w:hint="default" w:ascii="仿宋_GB2312" w:hAnsi="宋体" w:eastAsia="仿宋_GB2312" w:cs="仿宋_GB2312"/>
          <w:kern w:val="0"/>
          <w:sz w:val="32"/>
          <w:szCs w:val="32"/>
        </w:rPr>
        <w:t>2,809.61</w:t>
      </w:r>
      <w:r>
        <w:rPr>
          <w:rFonts w:hint="default" w:ascii="仿宋_GB2312" w:hAnsi="ˎ̥" w:eastAsia="仿宋_GB2312" w:cs="仿宋_GB2312"/>
          <w:kern w:val="0"/>
          <w:sz w:val="32"/>
          <w:szCs w:val="32"/>
        </w:rPr>
        <w:t>万元，主要包括：工资福利支出中的基本工资783.99万元、津贴补贴305.58万元、绩效工资762.88万元、机关事业单位基本养老保险缴费273.53万元、职业年金缴费136.77万元、职工基本医疗保险缴费128.56万元、其他社会保障缴费48.61万元、住房公积金214.7万元、医疗费11.36万元、其他工资福利支出137.73万元；对个人和家庭的补助中的生活补助4.07万元、救济费0.32万元、奖励金1.5万元。公用经费</w:t>
      </w:r>
      <w:r>
        <w:rPr>
          <w:rFonts w:hint="default" w:ascii="仿宋_GB2312" w:hAnsi="宋体" w:eastAsia="仿宋_GB2312" w:cs="仿宋_GB2312"/>
          <w:kern w:val="0"/>
          <w:sz w:val="32"/>
          <w:szCs w:val="32"/>
        </w:rPr>
        <w:t>1,015.34</w:t>
      </w:r>
      <w:r>
        <w:rPr>
          <w:rFonts w:hint="default" w:ascii="仿宋_GB2312" w:hAnsi="ˎ̥" w:eastAsia="仿宋_GB2312" w:cs="仿宋_GB2312"/>
          <w:kern w:val="0"/>
          <w:sz w:val="32"/>
          <w:szCs w:val="32"/>
        </w:rPr>
        <w:t>万元，主要包括：商品和服务支出中的办公费24.74万元、印刷费2.42万元、咨询费0.28万元、水费27.2万元、电费161.41万元、邮电费32.67万元、物业管理费27.73万元、差旅费45.39万元、维修（护）费126.63万元、租赁费9.13万元、培训费2.47万元、专用材料费66.75万元、专用燃料费1.42万元、劳务费318.57万元、委托业务费0.15万元、工会经费62万元、公务用车运行维护费13.56万元、其他交通费用2.96万元、其他商品和服务支出89.87万元。</w:t>
      </w:r>
    </w:p>
    <w:p w14:paraId="2B86F0CA">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七、政府性基金预算财政拨款支出决算情况说明</w:t>
      </w:r>
    </w:p>
    <w:p w14:paraId="2722A889">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（一）政府性基金预算财政拨款支出决算总体情况。</w:t>
      </w:r>
    </w:p>
    <w:p w14:paraId="38E180F0">
      <w:pPr>
        <w:keepNext w:val="0"/>
        <w:keepLines w:val="0"/>
        <w:widowControl/>
        <w:suppressLineNumbers w:val="0"/>
        <w:ind w:left="0" w:firstLine="640" w:firstLineChars="200"/>
        <w:rPr>
          <w:rFonts w:hint="default" w:ascii="仿宋_GB2312" w:hAnsi="ˎ̥" w:eastAsia="仿宋_GB2312" w:cs="宋体"/>
          <w:kern w:val="0"/>
          <w:sz w:val="32"/>
          <w:szCs w:val="32"/>
        </w:rPr>
      </w:pPr>
      <w:r>
        <w:rPr>
          <w:rFonts w:hint="default" w:ascii="仿宋_GB2312" w:hAnsi="ˎ̥" w:eastAsia="仿宋_GB2312" w:cs="仿宋_GB2312"/>
          <w:kern w:val="0"/>
          <w:sz w:val="32"/>
          <w:szCs w:val="32"/>
        </w:rPr>
        <w:t>2022年度无政府性基金预算财政拨款支出。</w:t>
      </w:r>
    </w:p>
    <w:p w14:paraId="67EAEAC2">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（二）政府性基金预算财政拨款支出决算结构情况。</w:t>
      </w:r>
    </w:p>
    <w:p w14:paraId="7FB2FE75">
      <w:pPr>
        <w:keepNext w:val="0"/>
        <w:keepLines w:val="0"/>
        <w:widowControl/>
        <w:suppressLineNumbers w:val="0"/>
        <w:ind w:left="0" w:firstLine="640" w:firstLineChars="200"/>
        <w:rPr>
          <w:rFonts w:hint="default" w:ascii="仿宋_GB2312" w:hAnsi="ˎ̥" w:eastAsia="仿宋_GB2312" w:cs="宋体"/>
          <w:kern w:val="0"/>
          <w:sz w:val="32"/>
          <w:szCs w:val="32"/>
        </w:rPr>
      </w:pPr>
      <w:r>
        <w:rPr>
          <w:rFonts w:hint="default" w:ascii="仿宋_GB2312" w:hAnsi="ˎ̥" w:eastAsia="仿宋_GB2312" w:cs="仿宋_GB2312"/>
          <w:kern w:val="0"/>
          <w:sz w:val="32"/>
          <w:szCs w:val="32"/>
        </w:rPr>
        <w:t>2022年度无政府性基金预算财政拨款支出。</w:t>
      </w:r>
    </w:p>
    <w:p w14:paraId="3DD7441B">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（三）政府性基金预算财政拨款支出决算具体情况。</w:t>
      </w:r>
    </w:p>
    <w:p w14:paraId="4F2C2207">
      <w:pPr>
        <w:keepNext w:val="0"/>
        <w:keepLines w:val="0"/>
        <w:widowControl/>
        <w:suppressLineNumbers w:val="0"/>
        <w:spacing w:before="0" w:beforeAutospacing="1" w:after="0" w:afterAutospacing="1"/>
        <w:ind w:left="0" w:right="0" w:firstLine="640" w:firstLineChars="200"/>
        <w:jc w:val="left"/>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2022年度无政府性基金预算财政拨款支出。</w:t>
      </w:r>
    </w:p>
    <w:p w14:paraId="341EE2AD">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八、国有资本经营预算财政拨款支出决算情况说明</w:t>
      </w:r>
    </w:p>
    <w:p w14:paraId="08FB6C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（一）国有资本经营预算财政拨款支出决算总体情况。</w:t>
      </w:r>
    </w:p>
    <w:p w14:paraId="07D55F0D">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2022年度无国有资本经营预算财政拨款支出。</w:t>
      </w:r>
    </w:p>
    <w:p w14:paraId="08DE89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（二）国有资本经营预算财政拨款支出决算结构情况。</w:t>
      </w:r>
    </w:p>
    <w:p w14:paraId="747D3CDA">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2022年度无国有资本经营预算财政拨款支出。</w:t>
      </w:r>
    </w:p>
    <w:p w14:paraId="4C378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（三）国有资本经营预算财政拨款支出决算具体情况。</w:t>
      </w:r>
    </w:p>
    <w:p w14:paraId="5CAA1FD8">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2022年度无国有资本经营预算财政拨款支出。</w:t>
      </w:r>
    </w:p>
    <w:p w14:paraId="1AB4A9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27" w:firstLineChars="196"/>
        <w:textAlignment w:val="auto"/>
        <w:rPr>
          <w:rFonts w:hint="default" w:ascii="仿宋_GB2312" w:hAnsi="ˎ̥" w:eastAsia="楷体_GB2312" w:cs="仿宋_GB2312"/>
          <w:kern w:val="0"/>
          <w:sz w:val="32"/>
          <w:szCs w:val="32"/>
        </w:rPr>
      </w:pPr>
      <w:r>
        <w:rPr>
          <w:rFonts w:hint="eastAsia" w:ascii="黑体" w:hAnsi="宋体" w:eastAsia="黑体" w:cs="黑体"/>
          <w:bCs/>
          <w:kern w:val="0"/>
          <w:sz w:val="32"/>
          <w:szCs w:val="32"/>
        </w:rPr>
        <w:t>九、财政拨款“三公”经费支出决算情况说明</w:t>
      </w:r>
    </w:p>
    <w:p w14:paraId="6AF83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bCs/>
          <w:kern w:val="0"/>
          <w:sz w:val="32"/>
          <w:szCs w:val="32"/>
        </w:rPr>
      </w:pPr>
      <w:r>
        <w:rPr>
          <w:rFonts w:hint="eastAsia" w:ascii="楷体" w:hAnsi="楷体" w:eastAsia="楷体" w:cs="楷体"/>
          <w:bCs/>
          <w:kern w:val="0"/>
          <w:sz w:val="32"/>
          <w:szCs w:val="32"/>
        </w:rPr>
        <w:t>（一）财政拨款“三公”经费支出决算总体情况说明。</w:t>
      </w:r>
    </w:p>
    <w:p w14:paraId="2AC034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2022年度财政拨款</w:t>
      </w:r>
      <w:r>
        <w:rPr>
          <w:rFonts w:hint="eastAsia" w:ascii="楷体" w:hAnsi="楷体" w:eastAsia="楷体" w:cs="楷体"/>
          <w:kern w:val="0"/>
          <w:sz w:val="32"/>
          <w:szCs w:val="32"/>
        </w:rPr>
        <w:t>“三公”</w:t>
      </w:r>
      <w:r>
        <w:rPr>
          <w:rFonts w:hint="default" w:ascii="仿宋_GB2312" w:hAnsi="ˎ̥" w:eastAsia="仿宋_GB2312" w:cs="仿宋_GB2312"/>
          <w:kern w:val="0"/>
          <w:sz w:val="32"/>
          <w:szCs w:val="32"/>
        </w:rPr>
        <w:t>经费支出预算为</w:t>
      </w:r>
      <w:r>
        <w:rPr>
          <w:rFonts w:hint="default" w:ascii="仿宋_GB2312" w:hAnsi="宋体" w:eastAsia="仿宋_GB2312" w:cs="仿宋_GB2312"/>
          <w:kern w:val="0"/>
          <w:sz w:val="32"/>
          <w:szCs w:val="32"/>
        </w:rPr>
        <w:t>21.00</w:t>
      </w:r>
      <w:r>
        <w:rPr>
          <w:rFonts w:hint="default" w:ascii="仿宋_GB2312" w:hAnsi="ˎ̥" w:eastAsia="仿宋_GB2312" w:cs="仿宋_GB2312"/>
          <w:kern w:val="0"/>
          <w:sz w:val="32"/>
          <w:szCs w:val="32"/>
        </w:rPr>
        <w:t>万元，支出决算为</w:t>
      </w:r>
      <w:r>
        <w:rPr>
          <w:rFonts w:hint="default" w:ascii="仿宋_GB2312" w:hAnsi="宋体" w:eastAsia="仿宋_GB2312" w:cs="仿宋_GB2312"/>
          <w:kern w:val="0"/>
          <w:sz w:val="32"/>
          <w:szCs w:val="32"/>
        </w:rPr>
        <w:t>13.76</w:t>
      </w:r>
      <w:r>
        <w:rPr>
          <w:rFonts w:hint="default" w:ascii="仿宋_GB2312" w:hAnsi="ˎ̥" w:eastAsia="仿宋_GB2312" w:cs="仿宋_GB2312"/>
          <w:kern w:val="0"/>
          <w:sz w:val="32"/>
          <w:szCs w:val="32"/>
        </w:rPr>
        <w:t>万元，完成预算的65.52%。</w:t>
      </w:r>
    </w:p>
    <w:p w14:paraId="0EF76F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楷体" w:hAnsi="楷体" w:eastAsia="楷体" w:cs="楷体"/>
          <w:kern w:val="0"/>
          <w:sz w:val="32"/>
          <w:szCs w:val="32"/>
        </w:rPr>
      </w:pPr>
      <w:r>
        <w:rPr>
          <w:rFonts w:hint="eastAsia" w:ascii="楷体" w:hAnsi="楷体" w:eastAsia="楷体" w:cs="楷体"/>
          <w:b/>
          <w:bCs/>
          <w:kern w:val="0"/>
          <w:sz w:val="32"/>
          <w:szCs w:val="32"/>
        </w:rPr>
        <w:t xml:space="preserve">   </w:t>
      </w:r>
      <w:r>
        <w:rPr>
          <w:rFonts w:hint="eastAsia" w:ascii="楷体" w:hAnsi="楷体" w:eastAsia="楷体" w:cs="楷体"/>
          <w:kern w:val="0"/>
          <w:sz w:val="32"/>
          <w:szCs w:val="32"/>
        </w:rPr>
        <w:t xml:space="preserve"> （二）财政拨款“三公”经费支出决算具体情况说明。</w:t>
      </w:r>
    </w:p>
    <w:p w14:paraId="5A3182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w:t>
      </w:r>
      <w:r>
        <w:rPr>
          <w:rFonts w:hint="eastAsia" w:ascii="楷体" w:hAnsi="楷体" w:eastAsia="楷体" w:cs="楷体"/>
          <w:kern w:val="0"/>
          <w:sz w:val="32"/>
          <w:szCs w:val="32"/>
        </w:rPr>
        <w:t>“三公”</w:t>
      </w:r>
      <w:r>
        <w:rPr>
          <w:rFonts w:hint="default" w:ascii="仿宋_GB2312" w:hAnsi="ˎ̥" w:eastAsia="仿宋_GB2312" w:cs="仿宋_GB2312"/>
          <w:kern w:val="0"/>
          <w:sz w:val="32"/>
          <w:szCs w:val="32"/>
        </w:rPr>
        <w:t>经费支出决算中，因公出国（境）费支出决算</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万元，占0%；公务用车购置及运行维护费支出决算</w:t>
      </w:r>
      <w:r>
        <w:rPr>
          <w:rFonts w:hint="default" w:ascii="仿宋_GB2312" w:hAnsi="宋体" w:eastAsia="仿宋_GB2312" w:cs="仿宋_GB2312"/>
          <w:kern w:val="0"/>
          <w:sz w:val="32"/>
          <w:szCs w:val="32"/>
        </w:rPr>
        <w:t>13.76</w:t>
      </w:r>
      <w:r>
        <w:rPr>
          <w:rFonts w:hint="default" w:ascii="仿宋_GB2312" w:hAnsi="ˎ̥" w:eastAsia="仿宋_GB2312" w:cs="仿宋_GB2312"/>
          <w:kern w:val="0"/>
          <w:sz w:val="32"/>
          <w:szCs w:val="32"/>
        </w:rPr>
        <w:t>万元，占100%；公务接待费支出决算</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万元，占0%。具体情况如下：</w:t>
      </w:r>
    </w:p>
    <w:p w14:paraId="3F982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1.因公出国（境）费</w:t>
      </w:r>
      <w:r>
        <w:rPr>
          <w:rFonts w:hint="default" w:ascii="仿宋_GB2312" w:hAnsi="ˎ̥" w:eastAsia="仿宋_GB2312" w:cs="仿宋_GB2312"/>
          <w:kern w:val="0"/>
          <w:sz w:val="32"/>
          <w:szCs w:val="32"/>
        </w:rPr>
        <w:t>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万元。全年安排因公出国（境）团组0个，因公出国（境）0人次。开支内容包括：</w:t>
      </w:r>
    </w:p>
    <w:p w14:paraId="01EF66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因公出国（境）费支出决算比预算数减少0.19万元，下降100%。主要原因是本年无因公出国任务，未安排人员出国。</w:t>
      </w:r>
    </w:p>
    <w:p w14:paraId="3DB50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2.公务用车购置及运行维护费支出</w:t>
      </w:r>
      <w:r>
        <w:rPr>
          <w:rFonts w:hint="default" w:ascii="仿宋_GB2312" w:hAnsi="宋体" w:eastAsia="仿宋_GB2312" w:cs="仿宋_GB2312"/>
          <w:kern w:val="0"/>
          <w:sz w:val="32"/>
          <w:szCs w:val="32"/>
        </w:rPr>
        <w:t>13.76</w:t>
      </w:r>
      <w:r>
        <w:rPr>
          <w:rFonts w:hint="default" w:ascii="仿宋_GB2312" w:hAnsi="ˎ̥" w:eastAsia="仿宋_GB2312" w:cs="仿宋_GB2312"/>
          <w:kern w:val="0"/>
          <w:sz w:val="32"/>
          <w:szCs w:val="32"/>
        </w:rPr>
        <w:t>万元。其中：</w:t>
      </w:r>
    </w:p>
    <w:p w14:paraId="7C3451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公务用车购置支出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万元，全年购置公务用车0辆，年末公务用车保有量4辆。</w:t>
      </w:r>
    </w:p>
    <w:p w14:paraId="1214CD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公务用车运行维护费支出</w:t>
      </w:r>
      <w:r>
        <w:rPr>
          <w:rFonts w:hint="default" w:ascii="仿宋_GB2312" w:hAnsi="宋体" w:eastAsia="仿宋_GB2312" w:cs="仿宋_GB2312"/>
          <w:kern w:val="0"/>
          <w:sz w:val="32"/>
          <w:szCs w:val="32"/>
        </w:rPr>
        <w:t>13.76</w:t>
      </w:r>
      <w:r>
        <w:rPr>
          <w:rFonts w:hint="default" w:ascii="仿宋_GB2312" w:hAnsi="ˎ̥" w:eastAsia="仿宋_GB2312" w:cs="仿宋_GB2312"/>
          <w:kern w:val="0"/>
          <w:sz w:val="32"/>
          <w:szCs w:val="32"/>
        </w:rPr>
        <w:t>万元，主要用于车辆维修维护。</w:t>
      </w:r>
    </w:p>
    <w:p w14:paraId="3DBF0C6D">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default" w:ascii="仿宋_GB2312" w:hAnsi="ˎ̥" w:eastAsia="仿宋_GB2312" w:cs="仿宋_GB2312"/>
          <w:bCs/>
          <w:kern w:val="0"/>
          <w:sz w:val="32"/>
          <w:szCs w:val="32"/>
        </w:rPr>
      </w:pPr>
      <w:r>
        <w:rPr>
          <w:rFonts w:hint="default" w:ascii="仿宋_GB2312" w:hAnsi="ˎ̥" w:eastAsia="仿宋_GB2312" w:cs="仿宋_GB2312"/>
          <w:bCs/>
          <w:kern w:val="0"/>
          <w:sz w:val="32"/>
          <w:szCs w:val="32"/>
        </w:rPr>
        <w:t>公务用车购置及运行费支出决算数</w:t>
      </w:r>
      <w:r>
        <w:rPr>
          <w:rFonts w:hint="default" w:ascii="仿宋_GB2312" w:hAnsi="ˎ̥" w:eastAsia="仿宋_GB2312" w:cs="仿宋_GB2312"/>
          <w:kern w:val="0"/>
          <w:sz w:val="32"/>
          <w:szCs w:val="32"/>
        </w:rPr>
        <w:t>比预算数减少6.24万元，下降31.2%。主要原因是厉行节约，减少不必要的开支。</w:t>
      </w:r>
    </w:p>
    <w:p w14:paraId="17268E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3.公务接待费支出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万元，其中：</w:t>
      </w:r>
    </w:p>
    <w:p w14:paraId="760C1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国内接待费</w:t>
      </w:r>
      <w:r>
        <w:rPr>
          <w:rFonts w:hint="default" w:ascii="仿宋_GB2312" w:hAnsi="ˎ̥" w:eastAsia="仿宋_GB2312" w:cs="仿宋_GB2312"/>
          <w:kern w:val="0"/>
          <w:sz w:val="32"/>
          <w:szCs w:val="32"/>
        </w:rPr>
        <w:t>支出0万元，国内公务接待0批次，接待0人次。</w:t>
      </w:r>
    </w:p>
    <w:p w14:paraId="614EA1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国（境）外接待费支出0万元，国（境）外公务接待0批次，接待0人次。</w:t>
      </w:r>
    </w:p>
    <w:p w14:paraId="2C4FDF8B">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公务接待费支出决算数比预算数减少1万元，下降100%。主要原因是厉行节约，减少不必要的开支。</w:t>
      </w:r>
    </w:p>
    <w:p w14:paraId="56C19FF2">
      <w:pPr>
        <w:keepNext w:val="0"/>
        <w:keepLines w:val="0"/>
        <w:widowControl/>
        <w:suppressLineNumbers w:val="0"/>
        <w:spacing w:before="0" w:beforeAutospacing="1" w:after="0" w:afterAutospacing="1"/>
        <w:ind w:left="0" w:righ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十、预算绩效情况说明。</w:t>
      </w:r>
    </w:p>
    <w:p w14:paraId="0E359EAE">
      <w:pPr>
        <w:keepNext w:val="0"/>
        <w:keepLines w:val="0"/>
        <w:widowControl/>
        <w:suppressLineNumbers w:val="0"/>
        <w:spacing w:before="0" w:beforeAutospacing="1" w:after="0" w:afterAutospacing="1" w:line="578" w:lineRule="exact"/>
        <w:ind w:left="0" w:right="0" w:firstLine="643" w:firstLineChars="200"/>
        <w:rPr>
          <w:rFonts w:hint="eastAsia" w:ascii="楷体" w:hAnsi="楷体" w:eastAsia="楷体" w:cs="楷体"/>
          <w:bCs/>
          <w:kern w:val="0"/>
          <w:sz w:val="32"/>
          <w:szCs w:val="32"/>
        </w:rPr>
      </w:pPr>
      <w:r>
        <w:rPr>
          <w:rFonts w:hint="eastAsia" w:ascii="楷体" w:hAnsi="楷体" w:eastAsia="楷体" w:cs="楷体"/>
          <w:b/>
          <w:bCs w:val="0"/>
          <w:kern w:val="2"/>
          <w:sz w:val="32"/>
          <w:szCs w:val="32"/>
        </w:rPr>
        <w:t>（一）绩效管理工作开展情况。</w:t>
      </w:r>
    </w:p>
    <w:p w14:paraId="1BB0D44C">
      <w:pPr>
        <w:keepNext w:val="0"/>
        <w:keepLines w:val="0"/>
        <w:widowControl/>
        <w:suppressLineNumbers w:val="0"/>
        <w:spacing w:before="0" w:beforeAutospacing="1" w:after="0" w:afterAutospacing="1"/>
        <w:ind w:left="0" w:right="0" w:firstLine="640" w:firstLineChars="200"/>
        <w:jc w:val="left"/>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根据预算管理要求，我部门（单位）组织对2022年度一般公共预算项目支出全面开展绩效自评。其中，自评项目10个，共涉及资金4,885.01万元，占一般公共预算项目支出总额的135.31%。从评价情况来看，2022年预算项目按计划推进，进展顺利，基本完成年度绩效目标，支出进度有所增长，但仍然存在一定不足，2022年度整体支出进度未能达到财政序时进度要求。</w:t>
      </w:r>
    </w:p>
    <w:p w14:paraId="5F8F0010">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default" w:ascii="仿宋_GB2312" w:hAnsi="宋体" w:eastAsia="仿宋_GB2312" w:cs="仿宋_GB2312"/>
          <w:kern w:val="0"/>
          <w:sz w:val="32"/>
          <w:szCs w:val="32"/>
        </w:rPr>
      </w:pPr>
      <w:r>
        <w:rPr>
          <w:rFonts w:hint="eastAsia" w:ascii="楷体" w:hAnsi="楷体" w:eastAsia="楷体" w:cs="楷体"/>
          <w:b/>
          <w:bCs w:val="0"/>
          <w:kern w:val="2"/>
          <w:sz w:val="32"/>
          <w:szCs w:val="32"/>
        </w:rPr>
        <w:t>（二）部门决算中项目绩效自评结果。</w:t>
      </w:r>
    </w:p>
    <w:p w14:paraId="26127848">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0" w:firstLineChars="200"/>
        <w:jc w:val="left"/>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我单位为部门二级预算单位，因此2022年度部门决算中无项目绩效自评。</w:t>
      </w:r>
    </w:p>
    <w:p w14:paraId="6A059323">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eastAsia" w:ascii="楷体" w:hAnsi="楷体" w:eastAsia="楷体" w:cs="楷体"/>
          <w:b/>
          <w:bCs w:val="0"/>
          <w:kern w:val="2"/>
          <w:sz w:val="32"/>
          <w:szCs w:val="32"/>
        </w:rPr>
      </w:pPr>
      <w:r>
        <w:rPr>
          <w:rFonts w:hint="eastAsia" w:ascii="楷体" w:hAnsi="楷体" w:eastAsia="楷体" w:cs="楷体"/>
          <w:b/>
          <w:bCs w:val="0"/>
          <w:kern w:val="2"/>
          <w:sz w:val="32"/>
          <w:szCs w:val="32"/>
        </w:rPr>
        <w:t>（三）财政评价项目绩效评价结果</w:t>
      </w:r>
    </w:p>
    <w:p w14:paraId="4DC5470B">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0" w:firstLineChars="200"/>
        <w:jc w:val="left"/>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我单位为部门二级预算单位，因此2022年度无财政评价项目绩效评价结果</w:t>
      </w:r>
    </w:p>
    <w:p w14:paraId="0655073E">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default" w:ascii="仿宋_GB2312" w:hAnsi="宋体" w:eastAsia="仿宋_GB2312" w:cs="仿宋_GB2312"/>
          <w:kern w:val="0"/>
          <w:sz w:val="32"/>
          <w:szCs w:val="32"/>
        </w:rPr>
      </w:pPr>
      <w:r>
        <w:rPr>
          <w:rFonts w:hint="eastAsia" w:ascii="楷体" w:hAnsi="楷体" w:eastAsia="楷体" w:cs="楷体"/>
          <w:b/>
          <w:bCs w:val="0"/>
          <w:kern w:val="2"/>
          <w:sz w:val="32"/>
          <w:szCs w:val="32"/>
        </w:rPr>
        <w:t>（四）部门评价项目绩效评价结果。</w:t>
      </w:r>
    </w:p>
    <w:p w14:paraId="56142985">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0" w:firstLineChars="200"/>
        <w:jc w:val="left"/>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我单位为部门二级预算单位，因此2022年度无部门评价项目绩效评价结果</w:t>
      </w:r>
      <w:bookmarkStart w:id="0" w:name="_GoBack"/>
      <w:bookmarkEnd w:id="0"/>
    </w:p>
    <w:p w14:paraId="3333786A">
      <w:pPr>
        <w:keepNext w:val="0"/>
        <w:keepLines w:val="0"/>
        <w:widowControl/>
        <w:suppressLineNumbers w:val="0"/>
        <w:spacing w:before="0" w:beforeAutospacing="1" w:after="0" w:afterAutospacing="1"/>
        <w:ind w:left="0" w:righ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十一、其他重要事项情况说明。</w:t>
      </w:r>
    </w:p>
    <w:p w14:paraId="78221A78">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（一）机关运行经费支出情况。</w:t>
      </w:r>
    </w:p>
    <w:p w14:paraId="6E082550">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2022年无机关运行经费支出</w:t>
      </w:r>
    </w:p>
    <w:p w14:paraId="4EB31726">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（二）政府采购支出情况。</w:t>
      </w:r>
    </w:p>
    <w:p w14:paraId="78E1FDC5">
      <w:pPr>
        <w:keepNext w:val="0"/>
        <w:keepLines w:val="0"/>
        <w:widowControl/>
        <w:suppressLineNumbers w:val="0"/>
        <w:spacing w:before="0" w:beforeAutospacing="1" w:after="0" w:afterAutospacing="1"/>
        <w:ind w:left="0" w:right="0" w:firstLine="640" w:firstLineChars="200"/>
        <w:jc w:val="left"/>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海南省机电工程学校政府采购支出总额1,107.86万元，其中：政府采购货物支出1,107.86万元、政府采购工程支出0万元、政府采购服务支出0万元。授予中小企业合同金额0万元，占政府采购支出总额的0%，其中：授予小微企业合同金额0万元，占</w:t>
      </w:r>
      <w:r>
        <w:rPr>
          <w:rFonts w:hint="default" w:ascii="仿宋_GB2312" w:hAnsi="宋体" w:eastAsia="仿宋_GB2312" w:cs="仿宋_GB2312"/>
          <w:kern w:val="0"/>
          <w:sz w:val="32"/>
          <w:szCs w:val="32"/>
        </w:rPr>
        <w:t>授予中小企业合同金额的</w:t>
      </w:r>
      <w:r>
        <w:rPr>
          <w:rFonts w:hint="default" w:ascii="仿宋_GB2312" w:hAnsi="ˎ̥" w:eastAsia="仿宋_GB2312" w:cs="仿宋_GB2312"/>
          <w:kern w:val="0"/>
          <w:sz w:val="32"/>
          <w:szCs w:val="32"/>
        </w:rPr>
        <w:t>0%。</w:t>
      </w:r>
    </w:p>
    <w:p w14:paraId="4BA479B3">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（三）国有资产占用情况。</w:t>
      </w:r>
    </w:p>
    <w:p w14:paraId="23D14501">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bCs/>
          <w:kern w:val="0"/>
          <w:sz w:val="32"/>
          <w:szCs w:val="32"/>
        </w:rPr>
        <w:t>截至2022年12月31日，本部门拥有</w:t>
      </w:r>
      <w:r>
        <w:rPr>
          <w:rFonts w:hint="default" w:ascii="仿宋_GB2312" w:hAnsi="ˎ̥" w:eastAsia="仿宋_GB2312" w:cs="仿宋_GB2312"/>
          <w:kern w:val="0"/>
          <w:sz w:val="32"/>
          <w:szCs w:val="32"/>
        </w:rPr>
        <w:t>房屋面积15,975.53平方米，其中：办公用房13,959.14平方米，业务用房2,016.38平方米，其他（不含构筑物）0平方米。</w:t>
      </w:r>
    </w:p>
    <w:p w14:paraId="751FF15B">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部门共有车辆4辆，其中，副部（省）级及以上领导用车0辆、主要领导干部用车0辆、机要通信用车0辆、应急保障用车0辆、执法执勤用车0辆、特种专业技术用车0辆、离退休干部用车0辆、其他用车4辆，其他用车主要是职工上下班通勤、接送学生外出活动及公务出行用车。单价100万元（含）以上设备（不含车辆）0台（套）。</w:t>
      </w:r>
    </w:p>
    <w:p w14:paraId="3408D293">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年末在建工程4,272.48万元。</w:t>
      </w:r>
    </w:p>
    <w:p w14:paraId="0CAA36A5">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p>
    <w:p w14:paraId="3794022A">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p>
    <w:p w14:paraId="46089AFF">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4BE6D591">
      <w:pPr>
        <w:keepNext w:val="0"/>
        <w:keepLines w:val="0"/>
        <w:widowControl/>
        <w:suppressLineNumbers w:val="0"/>
        <w:spacing w:before="0" w:beforeAutospacing="1" w:after="0" w:afterAutospacing="1"/>
        <w:ind w:left="0" w:right="0"/>
        <w:jc w:val="center"/>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14:paraId="5E7F8D8D">
      <w:pPr>
        <w:keepNext w:val="0"/>
        <w:keepLines w:val="0"/>
        <w:widowControl/>
        <w:suppressLineNumbers w:val="0"/>
        <w:spacing w:before="0" w:beforeAutospacing="1" w:after="0" w:afterAutospacing="1"/>
        <w:ind w:left="0" w:right="0"/>
        <w:jc w:val="center"/>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14:paraId="35E56ECD">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p>
    <w:p w14:paraId="7CC3E974">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43469DB">
      <w:pPr>
        <w:keepNext w:val="0"/>
        <w:keepLines w:val="0"/>
        <w:widowControl/>
        <w:numPr>
          <w:ilvl w:val="0"/>
          <w:numId w:val="1"/>
        </w:numPr>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财政拨款收入：指同级政府财政部门当年拨付的各类财政拨款。</w:t>
      </w:r>
    </w:p>
    <w:p w14:paraId="1856C95C">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二、上级补助收入：指事业单位从主管部门和上级单位取得的非财政补助收入。</w:t>
      </w:r>
    </w:p>
    <w:p w14:paraId="5F298CF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三、事业收入：指事业单位开展专业业务活动及辅助活动取得的收入。</w:t>
      </w:r>
    </w:p>
    <w:p w14:paraId="314C386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四、经营收入：指事业单位在专业业务活动及其辅助活动之外开展非独立核算经营活动取得的收入。</w:t>
      </w:r>
    </w:p>
    <w:p w14:paraId="6BCF3CF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五、附属单位上缴收入：指事业单位取得附属独立核算单位根据有关规定上缴的收入。</w:t>
      </w:r>
    </w:p>
    <w:p w14:paraId="1CC8169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六、其他收入：指除上述</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上级补助收入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附属单位上缴收入</w:t>
      </w:r>
      <w:r>
        <w:rPr>
          <w:rFonts w:hint="default" w:ascii="ˎ̥" w:hAnsi="ˎ̥" w:eastAsia="ˎ̥" w:cs="ˎ̥"/>
          <w:kern w:val="0"/>
          <w:sz w:val="32"/>
          <w:szCs w:val="32"/>
        </w:rPr>
        <w:t>”</w:t>
      </w:r>
      <w:r>
        <w:rPr>
          <w:rFonts w:hint="default" w:ascii="仿宋_GB2312" w:hAnsi="ˎ̥" w:eastAsia="仿宋_GB2312" w:cs="仿宋_GB2312"/>
          <w:kern w:val="0"/>
          <w:sz w:val="32"/>
          <w:szCs w:val="32"/>
        </w:rPr>
        <w:t>等以外的收入。</w:t>
      </w:r>
    </w:p>
    <w:p w14:paraId="2C4D1958">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七、使用非财政拨款结余：指事业单位在当年的</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其他收入</w:t>
      </w:r>
      <w:r>
        <w:rPr>
          <w:rFonts w:hint="default" w:ascii="ˎ̥" w:hAnsi="ˎ̥" w:eastAsia="ˎ̥" w:cs="ˎ̥"/>
          <w:kern w:val="0"/>
          <w:sz w:val="32"/>
          <w:szCs w:val="32"/>
        </w:rPr>
        <w:t>”</w:t>
      </w:r>
      <w:r>
        <w:rPr>
          <w:rFonts w:hint="default" w:ascii="仿宋_GB2312" w:hAnsi="ˎ̥" w:eastAsia="仿宋_GB2312" w:cs="仿宋_GB2312"/>
          <w:kern w:val="0"/>
          <w:sz w:val="32"/>
          <w:szCs w:val="32"/>
        </w:rPr>
        <w:t>等不足以安排当年支出的情况下，使用非同级财政拨款结余资金弥补本年度收支缺口。</w:t>
      </w:r>
    </w:p>
    <w:p w14:paraId="492A120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八、年初结转和结余：指以前年度尚未完成、结转到本年按有关规定继续使用的资金，或项目已完成等产生的结余资金。</w:t>
      </w:r>
    </w:p>
    <w:p w14:paraId="220F592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九、结余分配：指事业单位缴纳企业所得税以及从非财政拨款结余或经营结余中提取各类结余的情况。</w:t>
      </w:r>
    </w:p>
    <w:p w14:paraId="14DFB53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0E28A30">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十一、基本支出：指为保障机构正常运转、完成日常工作任务而发生的人员支出和公用支出。</w:t>
      </w:r>
    </w:p>
    <w:p w14:paraId="08ECB4C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十二、项目支出：指在基本支出之外为完成特定行政任务和事业发展目标所发生的支出。</w:t>
      </w:r>
    </w:p>
    <w:p w14:paraId="5E7E887A">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十三、经营支出：指事业单位在专业业务活动及其辅助活动之外开展非独立核算经营活动发生的支出。</w:t>
      </w:r>
    </w:p>
    <w:p w14:paraId="5E1512BD">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十四、</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经费：纳入本级财政预决算管理的</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0589FEE8">
      <w:pPr>
        <w:keepNext w:val="0"/>
        <w:keepLines w:val="0"/>
        <w:widowControl/>
        <w:suppressLineNumbers w:val="0"/>
        <w:spacing w:before="0" w:beforeAutospacing="1" w:after="0" w:afterAutospacing="1"/>
        <w:ind w:left="0" w:right="0" w:firstLine="645"/>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1DD8DAD8">
      <w:pPr>
        <w:keepNext w:val="0"/>
        <w:keepLines w:val="0"/>
        <w:widowControl/>
        <w:suppressLineNumbers w:val="0"/>
        <w:spacing w:before="0" w:beforeAutospacing="1" w:after="0" w:afterAutospacing="1"/>
        <w:ind w:left="0" w:right="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sectPr>
      <w:footerReference r:id="rId4" w:type="default"/>
      <w:pgSz w:w="11915" w:h="16851"/>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056F1">
    <w:pPr>
      <w:pStyle w:val="9"/>
      <w:keepNext w:val="0"/>
      <w:keepLines w:val="0"/>
      <w:widowControl/>
      <w:suppressLineNumbers w:val="0"/>
      <w:rPr>
        <w:rFonts w:hint="eastAsia" w:ascii="宋体" w:hAnsi="宋体" w:eastAsia="宋体" w:cs="宋体"/>
        <w:kern w:val="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D4F08"/>
    <w:multiLevelType w:val="multilevel"/>
    <w:tmpl w:val="345D4F08"/>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7"/>
  <w:displayHorizontalDrawingGridEvery w:val="0"/>
  <w:displayVerticalDrawingGridEvery w:val="2"/>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wZDNlMDVhNTEwY2QzMjg4OTgxNGQxZjExZWI4OTMifQ=="/>
  </w:docVars>
  <w:rsids>
    <w:rsidRoot w:val="00000000"/>
    <w:rsid w:val="4BEB50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99"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iPriority="99" w:name="Light Shading"/>
    <w:lsdException w:uiPriority="99" w:name="Light List"/>
    <w:lsdException w:uiPriority="99" w:name="Light Grid"/>
    <w:lsdException w:uiPriority="99" w:name="Medium Shading 1"/>
    <w:lsdException w:uiPriority="99" w:name="Medium Shading 2"/>
    <w:lsdException w:uiPriority="99" w:name="Medium List 1"/>
    <w:lsdException w:uiPriority="99" w:name="Medium List 2"/>
    <w:lsdException w:uiPriority="99" w:name="Medium Grid 1"/>
    <w:lsdException w:uiPriority="99" w:name="Medium Grid 2"/>
    <w:lsdException w:uiPriority="99" w:name="Medium Grid 3"/>
    <w:lsdException w:uiPriority="99" w:name="Dark List"/>
    <w:lsdException w:uiPriority="99" w:name="Colorful Shading"/>
    <w:lsdException w:uiPriority="99" w:name="Colorful List"/>
    <w:lsdException w:uiPriority="99" w:name="Colorful Grid"/>
    <w:lsdException w:uiPriority="99" w:name="Light Shading Accent 1"/>
    <w:lsdException w:uiPriority="99" w:name="Light List Accent 1"/>
    <w:lsdException w:uiPriority="99" w:name="Light Grid Accent 1"/>
    <w:lsdException w:uiPriority="99" w:name="Medium Shading 1 Accent 1"/>
    <w:lsdException w:uiPriority="99" w:name="Medium Shading 2 Accent 1"/>
    <w:lsdException w:uiPriority="99" w:name="Medium List 1 Accent 1"/>
    <w:lsdException w:uiPriority="99" w:name="Medium List 2 Accent 1"/>
    <w:lsdException w:uiPriority="99" w:name="Medium Grid 1 Accent 1"/>
    <w:lsdException w:uiPriority="99" w:name="Medium Grid 2 Accent 1"/>
    <w:lsdException w:uiPriority="99" w:name="Medium Grid 3 Accent 1"/>
    <w:lsdException w:uiPriority="99" w:name="Dark List Accent 1"/>
    <w:lsdException w:uiPriority="99" w:name="Colorful Shading Accent 1"/>
    <w:lsdException w:uiPriority="99" w:name="Colorful List Accent 1"/>
    <w:lsdException w:uiPriority="99" w:name="Colorful Grid Accent 1"/>
    <w:lsdException w:uiPriority="99" w:name="Light Shading Accent 2"/>
    <w:lsdException w:uiPriority="99" w:name="Light List Accent 2"/>
    <w:lsdException w:uiPriority="99" w:name="Light Grid Accent 2"/>
    <w:lsdException w:uiPriority="99" w:name="Medium Shading 1 Accent 2"/>
    <w:lsdException w:uiPriority="99" w:name="Medium Shading 2 Accent 2"/>
    <w:lsdException w:uiPriority="99" w:name="Medium List 1 Accent 2"/>
    <w:lsdException w:uiPriority="99" w:name="Medium List 2 Accent 2"/>
    <w:lsdException w:uiPriority="99" w:name="Medium Grid 1 Accent 2"/>
    <w:lsdException w:uiPriority="99" w:name="Medium Grid 2 Accent 2"/>
    <w:lsdException w:uiPriority="99" w:name="Medium Grid 3 Accent 2"/>
    <w:lsdException w:uiPriority="99" w:name="Dark List Accent 2"/>
    <w:lsdException w:uiPriority="99" w:name="Colorful Shading Accent 2"/>
    <w:lsdException w:uiPriority="99" w:name="Colorful List Accent 2"/>
    <w:lsdException w:uiPriority="99" w:name="Colorful Grid Accent 2"/>
    <w:lsdException w:uiPriority="99" w:name="Light Shading Accent 3"/>
    <w:lsdException w:uiPriority="99" w:name="Light List Accent 3"/>
    <w:lsdException w:uiPriority="99" w:name="Light Grid Accent 3"/>
    <w:lsdException w:uiPriority="99" w:name="Medium Shading 1 Accent 3"/>
    <w:lsdException w:uiPriority="99" w:name="Medium Shading 2 Accent 3"/>
    <w:lsdException w:uiPriority="99" w:name="Medium List 1 Accent 3"/>
    <w:lsdException w:uiPriority="99" w:name="Medium List 2 Accent 3"/>
    <w:lsdException w:uiPriority="99" w:name="Medium Grid 1 Accent 3"/>
    <w:lsdException w:uiPriority="99" w:name="Medium Grid 2 Accent 3"/>
    <w:lsdException w:uiPriority="99" w:name="Medium Grid 3 Accent 3"/>
    <w:lsdException w:uiPriority="99" w:name="Dark List Accent 3"/>
    <w:lsdException w:uiPriority="99" w:name="Colorful Shading Accent 3"/>
    <w:lsdException w:uiPriority="99" w:name="Colorful List Accent 3"/>
    <w:lsdException w:uiPriority="99" w:name="Colorful Grid Accent 3"/>
    <w:lsdException w:uiPriority="99" w:name="Light Shading Accent 4"/>
    <w:lsdException w:uiPriority="99" w:name="Light List Accent 4"/>
    <w:lsdException w:uiPriority="99" w:name="Light Grid Accent 4"/>
    <w:lsdException w:uiPriority="99" w:name="Medium Shading 1 Accent 4"/>
    <w:lsdException w:uiPriority="99" w:name="Medium Shading 2 Accent 4"/>
    <w:lsdException w:uiPriority="99" w:name="Medium List 1 Accent 4"/>
    <w:lsdException w:uiPriority="99" w:name="Medium List 2 Accent 4"/>
    <w:lsdException w:uiPriority="99" w:name="Medium Grid 1 Accent 4"/>
    <w:lsdException w:uiPriority="99" w:name="Medium Grid 2 Accent 4"/>
    <w:lsdException w:uiPriority="99" w:name="Medium Grid 3 Accent 4"/>
    <w:lsdException w:uiPriority="99" w:name="Dark List Accent 4"/>
    <w:lsdException w:uiPriority="99" w:name="Colorful Shading Accent 4"/>
    <w:lsdException w:uiPriority="99" w:name="Colorful List Accent 4"/>
    <w:lsdException w:uiPriority="99" w:name="Colorful Grid Accent 4"/>
    <w:lsdException w:uiPriority="99" w:name="Light Shading Accent 5"/>
    <w:lsdException w:uiPriority="99" w:name="Light List Accent 5"/>
    <w:lsdException w:uiPriority="99" w:name="Light Grid Accent 5"/>
    <w:lsdException w:uiPriority="99" w:name="Medium Shading 1 Accent 5"/>
    <w:lsdException w:uiPriority="99" w:name="Medium Shading 2 Accent 5"/>
    <w:lsdException w:uiPriority="99" w:name="Medium List 1 Accent 5"/>
    <w:lsdException w:uiPriority="99" w:name="Medium List 2 Accent 5"/>
    <w:lsdException w:uiPriority="99" w:name="Medium Grid 1 Accent 5"/>
    <w:lsdException w:uiPriority="99" w:name="Medium Grid 2 Accent 5"/>
    <w:lsdException w:uiPriority="99" w:name="Medium Grid 3 Accent 5"/>
    <w:lsdException w:uiPriority="99" w:name="Dark List Accent 5"/>
    <w:lsdException w:uiPriority="99" w:name="Colorful Shading Accent 5"/>
    <w:lsdException w:uiPriority="99" w:name="Colorful List Accent 5"/>
    <w:lsdException w:uiPriority="99" w:name="Colorful Grid Accent 5"/>
    <w:lsdException w:uiPriority="99" w:name="Light Shading Accent 6"/>
    <w:lsdException w:uiPriority="99" w:name="Light List Accent 6"/>
    <w:lsdException w:uiPriority="99" w:name="Light Grid Accent 6"/>
    <w:lsdException w:uiPriority="99" w:name="Medium Shading 1 Accent 6"/>
    <w:lsdException w:uiPriority="99" w:name="Medium Shading 2 Accent 6"/>
    <w:lsdException w:uiPriority="99" w:name="Medium List 1 Accent 6"/>
    <w:lsdException w:uiPriority="99" w:name="Medium List 2 Accent 6"/>
    <w:lsdException w:uiPriority="99" w:name="Medium Grid 1 Accent 6"/>
    <w:lsdException w:uiPriority="99" w:name="Medium Grid 2 Accent 6"/>
    <w:lsdException w:uiPriority="99" w:name="Medium Grid 3 Accent 6"/>
    <w:lsdException w:uiPriority="99" w:name="Dark List Accent 6"/>
    <w:lsdException w:uiPriority="99" w:name="Colorful Shading Accent 6"/>
    <w:lsdException w:uiPriority="99" w:name="Colorful List Accent 6"/>
    <w:lsdException w:uiPriority="99" w:name="Colorful Grid Accent 6"/>
  </w:latentStyles>
  <w:style w:type="paragraph" w:default="1" w:styleId="1">
    <w:name w:val="Normal"/>
    <w:semiHidden/>
    <w:unhideWhenUsed/>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4">
    <w:name w:val="Default Paragraph Font"/>
    <w:semiHidden/>
    <w:unhideWhenUsed/>
    <w:uiPriority w:val="99"/>
  </w:style>
  <w:style w:type="table" w:default="1" w:styleId="1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Body Text"/>
    <w:basedOn w:val="1"/>
    <w:qFormat/>
    <w:uiPriority w:val="1"/>
    <w:pPr>
      <w:ind w:left="120"/>
    </w:pPr>
    <w:rPr>
      <w:sz w:val="32"/>
      <w:szCs w:val="32"/>
    </w:rPr>
  </w:style>
  <w:style w:type="paragraph" w:styleId="9">
    <w:name w:val="footer"/>
    <w:basedOn w:val="1"/>
    <w:uiPriority w:val="0"/>
    <w:pPr>
      <w:snapToGrid w:val="0"/>
      <w:spacing w:before="0" w:beforeAutospacing="0" w:after="0" w:afterAutospacing="0"/>
      <w:ind w:left="0" w:right="0"/>
      <w:jc w:val="left"/>
    </w:pPr>
    <w:rPr>
      <w:rFonts w:hint="eastAsia" w:ascii="宋体" w:hAnsi="宋体" w:eastAsia="宋体" w:cs="宋体"/>
      <w:kern w:val="0"/>
      <w:sz w:val="18"/>
      <w:szCs w:val="18"/>
      <w:lang w:val="en-US" w:eastAsia="zh-CN" w:bidi="ar"/>
    </w:rPr>
  </w:style>
  <w:style w:type="paragraph" w:styleId="10">
    <w:name w:val="header"/>
    <w:basedOn w:val="1"/>
    <w:uiPriority w:val="0"/>
    <w:pPr>
      <w:pBdr>
        <w:top w:val="none" w:color="auto" w:sz="0" w:space="0"/>
        <w:left w:val="none" w:color="auto" w:sz="0" w:space="0"/>
        <w:bottom w:val="none" w:color="auto" w:sz="0" w:space="0"/>
        <w:right w:val="none" w:color="auto" w:sz="0" w:space="0"/>
      </w:pBdr>
      <w:snapToGrid w:val="0"/>
      <w:spacing w:before="0" w:beforeAutospacing="0" w:after="0" w:afterAutospacing="0"/>
      <w:ind w:left="0" w:right="0"/>
      <w:jc w:val="both"/>
    </w:pPr>
    <w:rPr>
      <w:rFonts w:hint="eastAsia" w:ascii="宋体" w:hAnsi="宋体" w:eastAsia="宋体" w:cs="宋体"/>
      <w:kern w:val="0"/>
      <w:sz w:val="18"/>
      <w:szCs w:val="18"/>
      <w:lang w:val="en-US" w:eastAsia="zh-CN" w:bidi="ar"/>
    </w:rPr>
  </w:style>
  <w:style w:type="paragraph" w:styleId="11">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5">
    <w:name w:val="20"/>
    <w:basedOn w:val="14"/>
    <w:uiPriority w:val="0"/>
    <w:rPr>
      <w:rFonts w:hint="default" w:ascii="Times New Roman" w:hAnsi="Times New Roman" w:cs="Times New Roman"/>
    </w:rPr>
  </w:style>
  <w:style w:type="character" w:customStyle="1" w:styleId="16">
    <w:name w:val="17"/>
    <w:basedOn w:val="14"/>
    <w:uiPriority w:val="0"/>
    <w:rPr>
      <w:rFonts w:hint="default" w:ascii="Times New Roman" w:hAnsi="Times New Roman" w:cs="Times New Roman"/>
    </w:rPr>
  </w:style>
  <w:style w:type="character" w:customStyle="1" w:styleId="17">
    <w:name w:val="16"/>
    <w:basedOn w:val="14"/>
    <w:uiPriority w:val="0"/>
    <w:rPr>
      <w:rFonts w:hint="default" w:ascii="Times New Roman" w:hAnsi="Times New Roman" w:cs="Times New Roman"/>
    </w:rPr>
  </w:style>
  <w:style w:type="paragraph" w:customStyle="1" w:styleId="18">
    <w:name w:val="普通(网站)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9">
    <w:name w:val="10"/>
    <w:basedOn w:val="14"/>
    <w:uiPriority w:val="0"/>
    <w:rPr>
      <w:rFonts w:hint="default" w:ascii="Times New Roman" w:hAnsi="Times New Roman" w:cs="Times New Roman"/>
    </w:rPr>
  </w:style>
  <w:style w:type="character" w:customStyle="1" w:styleId="20">
    <w:name w:val="15"/>
    <w:basedOn w:val="14"/>
    <w:uiPriority w:val="0"/>
    <w:rPr>
      <w:rFonts w:hint="default" w:ascii="Times New Roman" w:hAnsi="Times New Roman" w:cs="Times New Roman"/>
    </w:rPr>
  </w:style>
  <w:style w:type="character" w:customStyle="1" w:styleId="21">
    <w:name w:val="18"/>
    <w:basedOn w:val="14"/>
    <w:uiPriority w:val="0"/>
    <w:rPr>
      <w:rFonts w:hint="default" w:ascii="Times New Roman" w:hAnsi="Times New Roman" w:cs="Times New Roman"/>
    </w:rPr>
  </w:style>
  <w:style w:type="paragraph" w:customStyle="1" w:styleId="22">
    <w:name w:val="WPSOffice手动目录 2"/>
    <w:basedOn w:val="1"/>
    <w:uiPriority w:val="0"/>
    <w:pPr>
      <w:spacing w:before="0" w:beforeAutospacing="0" w:after="0" w:afterAutospacing="0"/>
      <w:ind w:left="0" w:leftChars="200" w:right="0"/>
      <w:jc w:val="left"/>
    </w:pPr>
    <w:rPr>
      <w:rFonts w:hint="default" w:ascii="Times New Roman" w:hAnsi="Times New Roman" w:eastAsia="宋体" w:cs="Times New Roman"/>
      <w:kern w:val="0"/>
      <w:sz w:val="20"/>
      <w:szCs w:val="20"/>
      <w:lang w:val="en-US" w:eastAsia="zh-CN" w:bidi="ar"/>
    </w:rPr>
  </w:style>
  <w:style w:type="character" w:customStyle="1" w:styleId="23">
    <w:name w:val="19"/>
    <w:basedOn w:val="14"/>
    <w:uiPriority w:val="0"/>
    <w:rPr>
      <w:rFonts w:hint="default" w:ascii="Times New Roman" w:hAnsi="Times New Roman" w:cs="Times New Roman"/>
    </w:rPr>
  </w:style>
  <w:style w:type="character" w:customStyle="1" w:styleId="24">
    <w:name w:val="21"/>
    <w:basedOn w:val="14"/>
    <w:uiPriority w:val="0"/>
    <w:rPr>
      <w:rFonts w:hint="default" w:ascii="Times New Roman" w:hAnsi="Times New Roman" w:cs="Times New Roman"/>
    </w:rPr>
  </w:style>
  <w:style w:type="paragraph" w:customStyle="1" w:styleId="25">
    <w:name w:val="HTML 预设格式 Char"/>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6">
    <w:name w:val="HTML 预设格式 Char Char"/>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7">
    <w:name w:val="普通(网站) Char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8">
    <w:name w:val="pre Char"/>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9">
    <w:name w:val="WPSOffice手动目录 1"/>
    <w:basedOn w:val="1"/>
    <w:uiPriority w:val="0"/>
    <w:pPr>
      <w:spacing w:before="0" w:beforeAutospacing="0" w:after="0" w:afterAutospacing="0"/>
      <w:ind w:left="0" w:leftChars="0" w:right="0"/>
      <w:jc w:val="left"/>
    </w:pPr>
    <w:rPr>
      <w:rFonts w:hint="default" w:ascii="Times New Roman" w:hAnsi="Times New Roman"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5689</Words>
  <Characters>6860</Characters>
  <Lines>1</Lines>
  <Paragraphs>1</Paragraphs>
  <TotalTime>0</TotalTime>
  <ScaleCrop>false</ScaleCrop>
  <LinksUpToDate>false</LinksUpToDate>
  <CharactersWithSpaces>6934</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2024-07-26T08:07:33Z</dcterms:created>
  <dc:creator>LENOVO</dc:creator>
  <cp:lastModifiedBy>＊芷＊</cp:lastModifiedBy>
  <dcterms:modified xsi:type="dcterms:W3CDTF">2024-07-26T08:13:19Z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68B2D917E1704EBBA1DE450B0688627D_13</vt:lpwstr>
  </property>
</Properties>
</file>